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8D" w:rsidRDefault="0049658D" w:rsidP="00FB2F82">
      <w:pPr>
        <w:rPr>
          <w:rFonts w:ascii="Calibri" w:hAnsi="Calibri"/>
          <w:b/>
          <w:bCs/>
          <w:color w:val="000000"/>
          <w:sz w:val="36"/>
          <w:szCs w:val="36"/>
        </w:rPr>
      </w:pPr>
      <w:r>
        <w:rPr>
          <w:rFonts w:ascii="Calibri" w:hAnsi="Calibri"/>
          <w:b/>
          <w:bCs/>
          <w:color w:val="000000"/>
          <w:sz w:val="36"/>
          <w:szCs w:val="36"/>
        </w:rPr>
        <w:t>US-Turkey Business Council, Session III</w:t>
      </w:r>
    </w:p>
    <w:p w:rsidR="0049658D" w:rsidRDefault="0049658D" w:rsidP="00FB2F82">
      <w:pPr>
        <w:rPr>
          <w:rFonts w:ascii="Calibri" w:hAnsi="Calibri"/>
          <w:b/>
          <w:bCs/>
          <w:color w:val="000000"/>
          <w:sz w:val="36"/>
          <w:szCs w:val="36"/>
        </w:rPr>
      </w:pPr>
    </w:p>
    <w:p w:rsidR="0049658D" w:rsidRPr="0049658D" w:rsidRDefault="0049658D" w:rsidP="00FB2F82">
      <w:pPr>
        <w:rPr>
          <w:rFonts w:ascii="Calibri" w:hAnsi="Calibri"/>
          <w:b/>
          <w:bCs/>
          <w:color w:val="000000"/>
          <w:sz w:val="32"/>
          <w:szCs w:val="32"/>
        </w:rPr>
      </w:pPr>
      <w:r w:rsidRPr="0049658D">
        <w:rPr>
          <w:rFonts w:ascii="Calibri" w:hAnsi="Calibri"/>
          <w:b/>
          <w:bCs/>
          <w:color w:val="000000"/>
          <w:sz w:val="32"/>
          <w:szCs w:val="32"/>
        </w:rPr>
        <w:t xml:space="preserve">Topic 7. </w:t>
      </w:r>
    </w:p>
    <w:p w:rsidR="0049658D" w:rsidRPr="0049658D" w:rsidRDefault="0049658D" w:rsidP="00FB2F82">
      <w:pPr>
        <w:rPr>
          <w:rFonts w:ascii="Calibri" w:hAnsi="Calibri"/>
          <w:b/>
          <w:bCs/>
          <w:color w:val="000000"/>
          <w:sz w:val="32"/>
          <w:szCs w:val="32"/>
        </w:rPr>
      </w:pPr>
    </w:p>
    <w:p w:rsidR="00FB2F82" w:rsidRPr="0049658D" w:rsidRDefault="00034F6B" w:rsidP="00FB2F82">
      <w:pPr>
        <w:rPr>
          <w:rFonts w:ascii="Calibri" w:hAnsi="Calibri"/>
          <w:b/>
          <w:bCs/>
          <w:color w:val="000000"/>
          <w:sz w:val="32"/>
          <w:szCs w:val="32"/>
        </w:rPr>
      </w:pPr>
      <w:r w:rsidRPr="0049658D">
        <w:rPr>
          <w:rFonts w:ascii="Calibri" w:hAnsi="Calibri"/>
          <w:b/>
          <w:bCs/>
          <w:color w:val="000000"/>
          <w:sz w:val="32"/>
          <w:szCs w:val="32"/>
        </w:rPr>
        <w:t>Life Sciences</w:t>
      </w:r>
    </w:p>
    <w:p w:rsidR="00FB2F82" w:rsidRPr="00282F03" w:rsidRDefault="00FB2F82" w:rsidP="00FB2F82">
      <w:pPr>
        <w:rPr>
          <w:rFonts w:ascii="Calibri" w:hAnsi="Calibri"/>
          <w:b/>
          <w:bCs/>
          <w:color w:val="000000"/>
          <w:sz w:val="22"/>
          <w:szCs w:val="22"/>
        </w:rPr>
      </w:pPr>
    </w:p>
    <w:p w:rsidR="008627E9" w:rsidRPr="0049658D" w:rsidRDefault="008627E9" w:rsidP="00FB2F82">
      <w:pPr>
        <w:rPr>
          <w:rFonts w:ascii="Calibri" w:hAnsi="Calibri"/>
          <w:color w:val="000000"/>
          <w:sz w:val="28"/>
          <w:szCs w:val="28"/>
        </w:rPr>
      </w:pPr>
      <w:r w:rsidRPr="0049658D">
        <w:rPr>
          <w:rFonts w:ascii="Calibri" w:hAnsi="Calibri"/>
          <w:color w:val="000000"/>
          <w:sz w:val="28"/>
          <w:szCs w:val="28"/>
          <w:u w:val="single"/>
        </w:rPr>
        <w:t>Background</w:t>
      </w:r>
      <w:r w:rsidRPr="0049658D">
        <w:rPr>
          <w:rFonts w:ascii="Calibri" w:hAnsi="Calibri"/>
          <w:color w:val="000000"/>
          <w:sz w:val="28"/>
          <w:szCs w:val="28"/>
        </w:rPr>
        <w:t>:</w:t>
      </w:r>
    </w:p>
    <w:p w:rsidR="00686AE5" w:rsidRPr="0049658D" w:rsidRDefault="00686AE5" w:rsidP="00FB2F82">
      <w:pPr>
        <w:rPr>
          <w:rFonts w:ascii="Calibri" w:hAnsi="Calibri"/>
          <w:color w:val="000000"/>
          <w:sz w:val="28"/>
          <w:szCs w:val="28"/>
        </w:rPr>
      </w:pPr>
    </w:p>
    <w:p w:rsidR="00FB2F82" w:rsidRPr="0049658D" w:rsidRDefault="00FB2F82" w:rsidP="00FB2F82">
      <w:pPr>
        <w:rPr>
          <w:rFonts w:ascii="Calibri" w:hAnsi="Calibri"/>
          <w:color w:val="000000"/>
          <w:sz w:val="28"/>
          <w:szCs w:val="28"/>
        </w:rPr>
      </w:pPr>
      <w:r w:rsidRPr="0049658D">
        <w:rPr>
          <w:rFonts w:ascii="Calibri" w:hAnsi="Calibri"/>
          <w:color w:val="000000"/>
          <w:sz w:val="28"/>
          <w:szCs w:val="28"/>
        </w:rPr>
        <w:t xml:space="preserve">The Life Sciences sector, comprising technologies for the </w:t>
      </w:r>
      <w:r w:rsidR="005C4DF4" w:rsidRPr="0049658D">
        <w:rPr>
          <w:rFonts w:ascii="Calibri" w:hAnsi="Calibri"/>
          <w:color w:val="000000"/>
          <w:sz w:val="28"/>
          <w:szCs w:val="28"/>
        </w:rPr>
        <w:t>advancement</w:t>
      </w:r>
      <w:r w:rsidRPr="0049658D">
        <w:rPr>
          <w:rFonts w:ascii="Calibri" w:hAnsi="Calibri"/>
          <w:color w:val="000000"/>
          <w:sz w:val="28"/>
          <w:szCs w:val="28"/>
        </w:rPr>
        <w:t xml:space="preserve"> of crop, animal and human life, including specifically biotechnology and pharmaceuticals (including the generics and innovative segments), represents one of the fastest growing, dynamic and </w:t>
      </w:r>
      <w:r w:rsidR="004950BF" w:rsidRPr="0049658D">
        <w:rPr>
          <w:rFonts w:ascii="Calibri" w:hAnsi="Calibri"/>
          <w:color w:val="000000"/>
          <w:sz w:val="28"/>
          <w:szCs w:val="28"/>
        </w:rPr>
        <w:t xml:space="preserve">high value-added </w:t>
      </w:r>
      <w:r w:rsidRPr="0049658D">
        <w:rPr>
          <w:rFonts w:ascii="Calibri" w:hAnsi="Calibri"/>
          <w:color w:val="000000"/>
          <w:sz w:val="28"/>
          <w:szCs w:val="28"/>
        </w:rPr>
        <w:t xml:space="preserve">strategic sectors in the global economy.  </w:t>
      </w:r>
    </w:p>
    <w:p w:rsidR="00EA6423" w:rsidRPr="0049658D" w:rsidRDefault="00EA6423" w:rsidP="00FB2F82">
      <w:pPr>
        <w:rPr>
          <w:rFonts w:ascii="Calibri" w:hAnsi="Calibri"/>
          <w:color w:val="000000"/>
          <w:sz w:val="28"/>
          <w:szCs w:val="28"/>
        </w:rPr>
      </w:pPr>
    </w:p>
    <w:p w:rsidR="00EA6423" w:rsidRPr="0049658D" w:rsidRDefault="00EA6423" w:rsidP="00EA6423">
      <w:pPr>
        <w:rPr>
          <w:rFonts w:ascii="Calibri" w:hAnsi="Calibri"/>
          <w:color w:val="000000"/>
          <w:sz w:val="28"/>
          <w:szCs w:val="28"/>
        </w:rPr>
      </w:pPr>
      <w:r w:rsidRPr="0049658D">
        <w:rPr>
          <w:rFonts w:ascii="Calibri" w:hAnsi="Calibri"/>
          <w:color w:val="000000"/>
          <w:sz w:val="28"/>
          <w:szCs w:val="28"/>
        </w:rPr>
        <w:t xml:space="preserve">The U.S. is acknowledged as the global leader today in biotechnology, research-based pharmaceuticals, medical devices and diagnostics.  A very high percentage of novel products and devices originate from the U.S., which has established a strong and stable eco-system to support innovation in Life Sciences.  Forward-looking policies, built on years of private-public sector consultation and collaboration, form the building blocks of this success. </w:t>
      </w:r>
    </w:p>
    <w:p w:rsidR="00EA6423" w:rsidRPr="0049658D" w:rsidRDefault="00EA6423" w:rsidP="00EA6423">
      <w:pPr>
        <w:rPr>
          <w:rFonts w:ascii="Calibri" w:hAnsi="Calibri"/>
          <w:color w:val="000000"/>
          <w:sz w:val="28"/>
          <w:szCs w:val="28"/>
        </w:rPr>
      </w:pPr>
    </w:p>
    <w:p w:rsidR="00EA6423" w:rsidRPr="0049658D" w:rsidRDefault="00EA6423" w:rsidP="00EA6423">
      <w:pPr>
        <w:rPr>
          <w:rFonts w:ascii="Calibri" w:hAnsi="Calibri"/>
          <w:color w:val="000000"/>
          <w:sz w:val="28"/>
          <w:szCs w:val="28"/>
        </w:rPr>
      </w:pPr>
      <w:r w:rsidRPr="0049658D">
        <w:rPr>
          <w:rFonts w:ascii="Calibri" w:hAnsi="Calibri"/>
          <w:color w:val="000000"/>
          <w:sz w:val="28"/>
          <w:szCs w:val="28"/>
        </w:rPr>
        <w:t>In recent years, senior Turkish policy-makers have expressed their ambition to evolve as a global competitor in Life Sciences, with a specific focus on biotechnology, medical devices, and establish a manufacturing base for the export of generics and innovative medicines.  </w:t>
      </w:r>
    </w:p>
    <w:p w:rsidR="00EA6423" w:rsidRPr="0049658D" w:rsidRDefault="00EA6423" w:rsidP="00EA6423">
      <w:pPr>
        <w:rPr>
          <w:rFonts w:ascii="Calibri" w:hAnsi="Calibri"/>
          <w:color w:val="000000"/>
          <w:sz w:val="28"/>
          <w:szCs w:val="28"/>
        </w:rPr>
      </w:pPr>
    </w:p>
    <w:p w:rsidR="00EA6423" w:rsidRPr="0049658D" w:rsidRDefault="00EA6423" w:rsidP="00EA6423">
      <w:pPr>
        <w:pStyle w:val="Default"/>
        <w:rPr>
          <w:rFonts w:asciiTheme="minorHAnsi" w:hAnsiTheme="minorHAnsi"/>
          <w:sz w:val="28"/>
          <w:szCs w:val="28"/>
        </w:rPr>
      </w:pPr>
      <w:r w:rsidRPr="0049658D">
        <w:rPr>
          <w:rFonts w:asciiTheme="minorHAnsi" w:hAnsiTheme="minorHAnsi"/>
          <w:sz w:val="28"/>
          <w:szCs w:val="28"/>
        </w:rPr>
        <w:t>The Government of Turkey has made significant investments in its healthcare sector over the past decade, resulting in impressive improvements in health outcomes. However, it’s ranking on key pharmaceutical and healthcare indicators still barely meets the global average. Turkey is the 16th largest pharmaceutical market in the world, but ranks only 35th in share of pharmaceutical R&amp;D and manufacturing; it also lags compared to other similar sized markets in FDI for R&amp;D and manufacturing.</w:t>
      </w:r>
    </w:p>
    <w:p w:rsidR="00EA6423" w:rsidRPr="0049658D" w:rsidRDefault="00EA6423" w:rsidP="00EA6423">
      <w:pPr>
        <w:pStyle w:val="Default"/>
        <w:rPr>
          <w:rFonts w:asciiTheme="minorHAnsi" w:hAnsiTheme="minorHAnsi"/>
          <w:sz w:val="28"/>
          <w:szCs w:val="28"/>
        </w:rPr>
      </w:pPr>
    </w:p>
    <w:p w:rsidR="00EA6423" w:rsidRPr="0049658D" w:rsidRDefault="00EA6423" w:rsidP="00EA6423">
      <w:pPr>
        <w:pStyle w:val="Default"/>
        <w:rPr>
          <w:rFonts w:asciiTheme="minorHAnsi" w:hAnsiTheme="minorHAnsi"/>
          <w:sz w:val="28"/>
          <w:szCs w:val="28"/>
        </w:rPr>
      </w:pPr>
      <w:r w:rsidRPr="0049658D">
        <w:rPr>
          <w:rFonts w:asciiTheme="minorHAnsi" w:hAnsiTheme="minorHAnsi"/>
          <w:sz w:val="28"/>
          <w:szCs w:val="28"/>
        </w:rPr>
        <w:t>To position itself as a major player in the life sciences, especially</w:t>
      </w:r>
      <w:r w:rsidR="00F93AF8" w:rsidRPr="0049658D">
        <w:rPr>
          <w:rFonts w:asciiTheme="minorHAnsi" w:hAnsiTheme="minorHAnsi"/>
          <w:sz w:val="28"/>
          <w:szCs w:val="28"/>
        </w:rPr>
        <w:t xml:space="preserve"> in pharmaceuticals, and</w:t>
      </w:r>
      <w:r w:rsidRPr="0049658D">
        <w:rPr>
          <w:rFonts w:asciiTheme="minorHAnsi" w:hAnsiTheme="minorHAnsi"/>
          <w:sz w:val="28"/>
          <w:szCs w:val="28"/>
        </w:rPr>
        <w:t xml:space="preserve"> to secure a greater share of global pharmaceutical investments, Turkey should consider recalibrating its policies to create the eco-system of innovation needed to create and support th</w:t>
      </w:r>
      <w:r w:rsidR="008817E1" w:rsidRPr="0049658D">
        <w:rPr>
          <w:rFonts w:asciiTheme="minorHAnsi" w:hAnsiTheme="minorHAnsi"/>
          <w:sz w:val="28"/>
          <w:szCs w:val="28"/>
        </w:rPr>
        <w:t>e</w:t>
      </w:r>
      <w:r w:rsidRPr="0049658D">
        <w:rPr>
          <w:rFonts w:asciiTheme="minorHAnsi" w:hAnsiTheme="minorHAnsi"/>
          <w:sz w:val="28"/>
          <w:szCs w:val="28"/>
        </w:rPr>
        <w:t xml:space="preserve"> life sciences industry. </w:t>
      </w:r>
    </w:p>
    <w:p w:rsidR="00686AE5" w:rsidRPr="0049658D" w:rsidRDefault="00686AE5" w:rsidP="00FB2F82">
      <w:pPr>
        <w:rPr>
          <w:rFonts w:ascii="Calibri" w:hAnsi="Calibri"/>
          <w:color w:val="000000"/>
          <w:sz w:val="28"/>
          <w:szCs w:val="28"/>
        </w:rPr>
      </w:pPr>
    </w:p>
    <w:p w:rsidR="004950BF" w:rsidRPr="0049658D" w:rsidRDefault="008817E1" w:rsidP="00FB2F82">
      <w:pPr>
        <w:rPr>
          <w:rFonts w:ascii="Calibri" w:hAnsi="Calibri"/>
          <w:color w:val="000000"/>
          <w:sz w:val="28"/>
          <w:szCs w:val="28"/>
        </w:rPr>
      </w:pPr>
      <w:r w:rsidRPr="0049658D">
        <w:rPr>
          <w:rFonts w:ascii="Calibri" w:hAnsi="Calibri"/>
          <w:color w:val="000000"/>
          <w:sz w:val="28"/>
          <w:szCs w:val="28"/>
        </w:rPr>
        <w:t xml:space="preserve">These </w:t>
      </w:r>
      <w:r w:rsidR="008627E9" w:rsidRPr="0049658D">
        <w:rPr>
          <w:rFonts w:ascii="Calibri" w:hAnsi="Calibri"/>
          <w:color w:val="000000"/>
          <w:sz w:val="28"/>
          <w:szCs w:val="28"/>
        </w:rPr>
        <w:t>policies</w:t>
      </w:r>
      <w:r w:rsidRPr="0049658D">
        <w:rPr>
          <w:rFonts w:ascii="Calibri" w:hAnsi="Calibri"/>
          <w:color w:val="000000"/>
          <w:sz w:val="28"/>
          <w:szCs w:val="28"/>
        </w:rPr>
        <w:t xml:space="preserve"> that comprise the eco-system</w:t>
      </w:r>
      <w:r w:rsidR="008627E9" w:rsidRPr="0049658D">
        <w:rPr>
          <w:rFonts w:ascii="Calibri" w:hAnsi="Calibri"/>
          <w:color w:val="000000"/>
          <w:sz w:val="28"/>
          <w:szCs w:val="28"/>
        </w:rPr>
        <w:t xml:space="preserve"> include a high degree of free market competition, </w:t>
      </w:r>
      <w:r w:rsidR="00D648D6" w:rsidRPr="0049658D">
        <w:rPr>
          <w:rFonts w:ascii="Calibri" w:hAnsi="Calibri"/>
          <w:color w:val="000000"/>
          <w:sz w:val="28"/>
          <w:szCs w:val="28"/>
        </w:rPr>
        <w:t xml:space="preserve">recognition and </w:t>
      </w:r>
      <w:r w:rsidR="00C8775E" w:rsidRPr="0049658D">
        <w:rPr>
          <w:rFonts w:ascii="Calibri" w:hAnsi="Calibri"/>
          <w:color w:val="000000"/>
          <w:sz w:val="28"/>
          <w:szCs w:val="28"/>
        </w:rPr>
        <w:t xml:space="preserve">reward for innovation, </w:t>
      </w:r>
      <w:r w:rsidR="00F25BFE" w:rsidRPr="0049658D">
        <w:rPr>
          <w:rFonts w:ascii="Calibri" w:hAnsi="Calibri"/>
          <w:color w:val="000000"/>
          <w:sz w:val="28"/>
          <w:szCs w:val="28"/>
        </w:rPr>
        <w:t xml:space="preserve">consistent public support for basic research, close collaboration between the private sector and academia, </w:t>
      </w:r>
      <w:r w:rsidR="008627E9" w:rsidRPr="0049658D">
        <w:rPr>
          <w:rFonts w:ascii="Calibri" w:hAnsi="Calibri"/>
          <w:color w:val="000000"/>
          <w:sz w:val="28"/>
          <w:szCs w:val="28"/>
        </w:rPr>
        <w:t xml:space="preserve">a world-class intellectual property rights system </w:t>
      </w:r>
      <w:r w:rsidR="00F25BFE" w:rsidRPr="0049658D">
        <w:rPr>
          <w:rFonts w:ascii="Calibri" w:hAnsi="Calibri"/>
          <w:color w:val="000000"/>
          <w:sz w:val="28"/>
          <w:szCs w:val="28"/>
        </w:rPr>
        <w:t>to support investment and commercialization, a</w:t>
      </w:r>
      <w:r w:rsidR="008627E9" w:rsidRPr="0049658D">
        <w:rPr>
          <w:rFonts w:ascii="Calibri" w:hAnsi="Calibri"/>
          <w:color w:val="000000"/>
          <w:sz w:val="28"/>
          <w:szCs w:val="28"/>
        </w:rPr>
        <w:t xml:space="preserve">nd a </w:t>
      </w:r>
      <w:r w:rsidR="00F25BFE" w:rsidRPr="0049658D">
        <w:rPr>
          <w:rFonts w:ascii="Calibri" w:hAnsi="Calibri"/>
          <w:color w:val="000000"/>
          <w:sz w:val="28"/>
          <w:szCs w:val="28"/>
        </w:rPr>
        <w:t>globally</w:t>
      </w:r>
      <w:r w:rsidR="002113C1" w:rsidRPr="0049658D">
        <w:rPr>
          <w:rFonts w:ascii="Calibri" w:hAnsi="Calibri"/>
          <w:color w:val="000000"/>
          <w:sz w:val="28"/>
          <w:szCs w:val="28"/>
        </w:rPr>
        <w:t>-</w:t>
      </w:r>
      <w:r w:rsidR="00F25BFE" w:rsidRPr="0049658D">
        <w:rPr>
          <w:rFonts w:ascii="Calibri" w:hAnsi="Calibri"/>
          <w:color w:val="000000"/>
          <w:sz w:val="28"/>
          <w:szCs w:val="28"/>
        </w:rPr>
        <w:t>recognized</w:t>
      </w:r>
      <w:r w:rsidR="008627E9" w:rsidRPr="0049658D">
        <w:rPr>
          <w:rFonts w:ascii="Calibri" w:hAnsi="Calibri"/>
          <w:color w:val="000000"/>
          <w:sz w:val="28"/>
          <w:szCs w:val="28"/>
        </w:rPr>
        <w:t xml:space="preserve"> standards-setting regulatory authority.</w:t>
      </w:r>
    </w:p>
    <w:p w:rsidR="002113C1" w:rsidRPr="0049658D" w:rsidRDefault="002113C1" w:rsidP="00FB2F82">
      <w:pPr>
        <w:rPr>
          <w:rFonts w:ascii="Calibri" w:hAnsi="Calibri"/>
          <w:color w:val="000000"/>
          <w:sz w:val="28"/>
          <w:szCs w:val="28"/>
        </w:rPr>
      </w:pPr>
    </w:p>
    <w:p w:rsidR="004950BF" w:rsidRPr="0049658D" w:rsidRDefault="008817E1" w:rsidP="00FB2F82">
      <w:pPr>
        <w:rPr>
          <w:rFonts w:ascii="Calibri" w:hAnsi="Calibri"/>
          <w:color w:val="000000"/>
          <w:sz w:val="28"/>
          <w:szCs w:val="28"/>
        </w:rPr>
      </w:pPr>
      <w:r w:rsidRPr="0049658D">
        <w:rPr>
          <w:rFonts w:ascii="Calibri" w:hAnsi="Calibri"/>
          <w:color w:val="000000"/>
          <w:sz w:val="28"/>
          <w:szCs w:val="28"/>
        </w:rPr>
        <w:t xml:space="preserve">Industry has been working with the government for a number of years </w:t>
      </w:r>
      <w:r w:rsidR="00034F6B" w:rsidRPr="0049658D">
        <w:rPr>
          <w:rFonts w:ascii="Calibri" w:hAnsi="Calibri"/>
          <w:color w:val="000000"/>
          <w:sz w:val="28"/>
          <w:szCs w:val="28"/>
        </w:rPr>
        <w:t>with the goal for</w:t>
      </w:r>
      <w:r w:rsidR="00FB2F82" w:rsidRPr="0049658D">
        <w:rPr>
          <w:rFonts w:ascii="Calibri" w:hAnsi="Calibri"/>
          <w:color w:val="000000"/>
          <w:sz w:val="28"/>
          <w:szCs w:val="28"/>
        </w:rPr>
        <w:t xml:space="preserve"> t</w:t>
      </w:r>
      <w:r w:rsidR="004950BF" w:rsidRPr="0049658D">
        <w:rPr>
          <w:rFonts w:ascii="Calibri" w:hAnsi="Calibri"/>
          <w:color w:val="000000"/>
          <w:sz w:val="28"/>
          <w:szCs w:val="28"/>
        </w:rPr>
        <w:t>he Government to develop a well-</w:t>
      </w:r>
      <w:r w:rsidR="00FB2F82" w:rsidRPr="0049658D">
        <w:rPr>
          <w:rFonts w:ascii="Calibri" w:hAnsi="Calibri"/>
          <w:color w:val="000000"/>
          <w:sz w:val="28"/>
          <w:szCs w:val="28"/>
        </w:rPr>
        <w:t>articulated, detailed vision, strategy and policy road map that would support a vibrant medical devices, generic</w:t>
      </w:r>
      <w:r w:rsidR="004950BF" w:rsidRPr="0049658D">
        <w:rPr>
          <w:rFonts w:ascii="Calibri" w:hAnsi="Calibri"/>
          <w:color w:val="000000"/>
          <w:sz w:val="28"/>
          <w:szCs w:val="28"/>
        </w:rPr>
        <w:t>s</w:t>
      </w:r>
      <w:r w:rsidR="00FB2F82" w:rsidRPr="0049658D">
        <w:rPr>
          <w:rFonts w:ascii="Calibri" w:hAnsi="Calibri"/>
          <w:color w:val="000000"/>
          <w:sz w:val="28"/>
          <w:szCs w:val="28"/>
        </w:rPr>
        <w:t xml:space="preserve"> and innovative medicines sector.  </w:t>
      </w:r>
      <w:r w:rsidR="004C617D" w:rsidRPr="0049658D">
        <w:rPr>
          <w:rFonts w:ascii="Calibri" w:hAnsi="Calibri"/>
          <w:color w:val="000000"/>
          <w:sz w:val="28"/>
          <w:szCs w:val="28"/>
        </w:rPr>
        <w:t>More work is needed to develop and implement policies that will allow Turkey to compete with other countries seeking to develop the life sciences sector. Based on the data from a recent</w:t>
      </w:r>
      <w:r w:rsidRPr="0049658D">
        <w:rPr>
          <w:rFonts w:ascii="Calibri" w:hAnsi="Calibri"/>
          <w:color w:val="000000"/>
          <w:sz w:val="28"/>
          <w:szCs w:val="28"/>
        </w:rPr>
        <w:t xml:space="preserve"> Putgatch Report</w:t>
      </w:r>
      <w:r w:rsidR="004C617D" w:rsidRPr="0049658D">
        <w:rPr>
          <w:rFonts w:ascii="Calibri" w:hAnsi="Calibri"/>
          <w:color w:val="000000"/>
          <w:sz w:val="28"/>
          <w:szCs w:val="28"/>
        </w:rPr>
        <w:t xml:space="preserve"> released at the Annual International Biotechnology Conference, Turkey has </w:t>
      </w:r>
      <w:r w:rsidR="00034F6B" w:rsidRPr="0049658D">
        <w:rPr>
          <w:rFonts w:ascii="Calibri" w:hAnsi="Calibri"/>
          <w:color w:val="000000"/>
          <w:sz w:val="28"/>
          <w:szCs w:val="28"/>
        </w:rPr>
        <w:t>yet to create the eco-system that will allow it to compete with other countries seeking the same investments</w:t>
      </w:r>
      <w:r w:rsidR="004C617D" w:rsidRPr="0049658D">
        <w:rPr>
          <w:rFonts w:ascii="Calibri" w:hAnsi="Calibri"/>
          <w:color w:val="000000"/>
          <w:sz w:val="28"/>
          <w:szCs w:val="28"/>
        </w:rPr>
        <w:t>.</w:t>
      </w:r>
      <w:r w:rsidR="00AB1C91" w:rsidRPr="0049658D">
        <w:rPr>
          <w:rFonts w:ascii="Calibri" w:hAnsi="Calibri"/>
          <w:color w:val="000000"/>
          <w:sz w:val="28"/>
          <w:szCs w:val="28"/>
        </w:rPr>
        <w:t xml:space="preserve"> </w:t>
      </w:r>
    </w:p>
    <w:p w:rsidR="00AB1C91" w:rsidRPr="0049658D" w:rsidRDefault="00AB1C91" w:rsidP="00FB2F82">
      <w:pPr>
        <w:rPr>
          <w:rFonts w:ascii="Calibri" w:hAnsi="Calibri"/>
          <w:color w:val="000000"/>
          <w:sz w:val="28"/>
          <w:szCs w:val="28"/>
        </w:rPr>
      </w:pPr>
    </w:p>
    <w:p w:rsidR="00686AE5" w:rsidRPr="0049658D" w:rsidRDefault="00686AE5" w:rsidP="00FB2F82">
      <w:pPr>
        <w:rPr>
          <w:rFonts w:ascii="Calibri" w:hAnsi="Calibri"/>
          <w:color w:val="000000"/>
          <w:sz w:val="28"/>
          <w:szCs w:val="28"/>
          <w:u w:val="single"/>
        </w:rPr>
      </w:pPr>
      <w:r w:rsidRPr="0049658D">
        <w:rPr>
          <w:rFonts w:ascii="Calibri" w:hAnsi="Calibri"/>
          <w:color w:val="000000"/>
          <w:sz w:val="28"/>
          <w:szCs w:val="28"/>
          <w:u w:val="single"/>
        </w:rPr>
        <w:t>Opportunity</w:t>
      </w:r>
    </w:p>
    <w:p w:rsidR="00686AE5" w:rsidRPr="0049658D" w:rsidRDefault="00686AE5" w:rsidP="00FB2F82">
      <w:pPr>
        <w:rPr>
          <w:rFonts w:ascii="Calibri" w:hAnsi="Calibri"/>
          <w:color w:val="000000"/>
          <w:sz w:val="28"/>
          <w:szCs w:val="28"/>
        </w:rPr>
      </w:pPr>
    </w:p>
    <w:p w:rsidR="004C617D" w:rsidRPr="0049658D" w:rsidRDefault="00FB2F82" w:rsidP="004C617D">
      <w:pPr>
        <w:rPr>
          <w:rFonts w:ascii="Calibri" w:hAnsi="Calibri"/>
          <w:color w:val="000000"/>
          <w:sz w:val="28"/>
          <w:szCs w:val="28"/>
        </w:rPr>
      </w:pPr>
      <w:r w:rsidRPr="0049658D">
        <w:rPr>
          <w:rFonts w:ascii="Calibri" w:hAnsi="Calibri"/>
          <w:color w:val="000000"/>
          <w:sz w:val="28"/>
          <w:szCs w:val="28"/>
        </w:rPr>
        <w:t>The U</w:t>
      </w:r>
      <w:r w:rsidR="004950BF" w:rsidRPr="0049658D">
        <w:rPr>
          <w:rFonts w:ascii="Calibri" w:hAnsi="Calibri"/>
          <w:color w:val="000000"/>
          <w:sz w:val="28"/>
          <w:szCs w:val="28"/>
        </w:rPr>
        <w:t>.</w:t>
      </w:r>
      <w:r w:rsidRPr="0049658D">
        <w:rPr>
          <w:rFonts w:ascii="Calibri" w:hAnsi="Calibri"/>
          <w:color w:val="000000"/>
          <w:sz w:val="28"/>
          <w:szCs w:val="28"/>
        </w:rPr>
        <w:t>S</w:t>
      </w:r>
      <w:r w:rsidR="004950BF" w:rsidRPr="0049658D">
        <w:rPr>
          <w:rFonts w:ascii="Calibri" w:hAnsi="Calibri"/>
          <w:color w:val="000000"/>
          <w:sz w:val="28"/>
          <w:szCs w:val="28"/>
        </w:rPr>
        <w:t>.</w:t>
      </w:r>
      <w:r w:rsidRPr="0049658D">
        <w:rPr>
          <w:rFonts w:ascii="Calibri" w:hAnsi="Calibri"/>
          <w:color w:val="000000"/>
          <w:sz w:val="28"/>
          <w:szCs w:val="28"/>
        </w:rPr>
        <w:t xml:space="preserve">-Turkey Business Council, aware of Turkey's as yet mostly untapped but very high potential for R&amp;D, manufacturing and exports in this sector, </w:t>
      </w:r>
      <w:r w:rsidR="004950BF" w:rsidRPr="0049658D">
        <w:rPr>
          <w:rFonts w:ascii="Calibri" w:hAnsi="Calibri"/>
          <w:color w:val="000000"/>
          <w:sz w:val="28"/>
          <w:szCs w:val="28"/>
        </w:rPr>
        <w:t xml:space="preserve">is encouraged </w:t>
      </w:r>
      <w:r w:rsidR="004C617D" w:rsidRPr="0049658D">
        <w:rPr>
          <w:rFonts w:ascii="Calibri" w:hAnsi="Calibri"/>
          <w:color w:val="000000"/>
          <w:sz w:val="28"/>
          <w:szCs w:val="28"/>
        </w:rPr>
        <w:t>by outreach by the new government to</w:t>
      </w:r>
      <w:r w:rsidR="004950BF" w:rsidRPr="0049658D">
        <w:rPr>
          <w:rFonts w:ascii="Calibri" w:hAnsi="Calibri"/>
          <w:color w:val="000000"/>
          <w:sz w:val="28"/>
          <w:szCs w:val="28"/>
        </w:rPr>
        <w:t xml:space="preserve"> external stakeholders and across relevant ministries and government agencies to develop a new Vision and Strategy to rejuvenate the sector. </w:t>
      </w:r>
      <w:r w:rsidR="004950BF" w:rsidRPr="0049658D">
        <w:rPr>
          <w:rFonts w:asciiTheme="minorHAnsi" w:hAnsiTheme="minorHAnsi"/>
          <w:color w:val="000000"/>
          <w:sz w:val="28"/>
          <w:szCs w:val="28"/>
        </w:rPr>
        <w:t xml:space="preserve"> </w:t>
      </w:r>
      <w:r w:rsidR="004C617D" w:rsidRPr="0049658D">
        <w:rPr>
          <w:rFonts w:asciiTheme="minorHAnsi" w:hAnsiTheme="minorHAnsi"/>
          <w:sz w:val="28"/>
          <w:szCs w:val="28"/>
        </w:rPr>
        <w:t xml:space="preserve">Industry believes the creation of the new Health Care Steering Committee to oversee the transformational change in the healthcare sector is an important start. </w:t>
      </w:r>
    </w:p>
    <w:p w:rsidR="005C4DF4" w:rsidRPr="0049658D" w:rsidRDefault="005C4DF4" w:rsidP="00FB2F82">
      <w:pPr>
        <w:rPr>
          <w:rFonts w:ascii="Calibri" w:hAnsi="Calibri"/>
          <w:color w:val="000000"/>
          <w:sz w:val="28"/>
          <w:szCs w:val="28"/>
        </w:rPr>
      </w:pPr>
    </w:p>
    <w:p w:rsidR="00F25BFE" w:rsidRPr="0049658D" w:rsidRDefault="005C4DF4" w:rsidP="00FB2F82">
      <w:pPr>
        <w:rPr>
          <w:rFonts w:ascii="Calibri" w:hAnsi="Calibri"/>
          <w:color w:val="000000"/>
          <w:sz w:val="28"/>
          <w:szCs w:val="28"/>
        </w:rPr>
      </w:pPr>
      <w:r w:rsidRPr="0049658D">
        <w:rPr>
          <w:rFonts w:ascii="Calibri" w:hAnsi="Calibri"/>
          <w:color w:val="000000"/>
          <w:sz w:val="28"/>
          <w:szCs w:val="28"/>
        </w:rPr>
        <w:t xml:space="preserve">As an established powerhouse in the Life Sciences, the U.S. </w:t>
      </w:r>
      <w:r w:rsidR="00686AE5" w:rsidRPr="0049658D">
        <w:rPr>
          <w:rFonts w:ascii="Calibri" w:hAnsi="Calibri"/>
          <w:color w:val="000000"/>
          <w:sz w:val="28"/>
          <w:szCs w:val="28"/>
        </w:rPr>
        <w:t>is in a strong positio</w:t>
      </w:r>
      <w:r w:rsidR="00F25BFE" w:rsidRPr="0049658D">
        <w:rPr>
          <w:rFonts w:ascii="Calibri" w:hAnsi="Calibri"/>
          <w:color w:val="000000"/>
          <w:sz w:val="28"/>
          <w:szCs w:val="28"/>
        </w:rPr>
        <w:t>n to provide benchmarks, modeling and counseling on best practices. It’s globally leading Life Sciences companies are in a strong position to increase their investment, employment and operations in Turkey.  As a country possessing rich human potential and other competitive advantages</w:t>
      </w:r>
      <w:r w:rsidR="002113C1" w:rsidRPr="0049658D">
        <w:rPr>
          <w:rFonts w:ascii="Calibri" w:hAnsi="Calibri"/>
          <w:color w:val="000000"/>
          <w:sz w:val="28"/>
          <w:szCs w:val="28"/>
        </w:rPr>
        <w:t>,</w:t>
      </w:r>
      <w:r w:rsidR="00F25BFE" w:rsidRPr="0049658D">
        <w:rPr>
          <w:rFonts w:ascii="Calibri" w:hAnsi="Calibri"/>
          <w:color w:val="000000"/>
          <w:sz w:val="28"/>
          <w:szCs w:val="28"/>
        </w:rPr>
        <w:t xml:space="preserve"> including a well-established healthcare and university system, Turkey can reasonably expect to achieve its ambition to become a global top 10 player in the Life Sciences sector by 2023.  In a globally</w:t>
      </w:r>
      <w:r w:rsidR="00D648D6" w:rsidRPr="0049658D">
        <w:rPr>
          <w:rFonts w:ascii="Calibri" w:hAnsi="Calibri"/>
          <w:color w:val="000000"/>
          <w:sz w:val="28"/>
          <w:szCs w:val="28"/>
        </w:rPr>
        <w:t>-</w:t>
      </w:r>
      <w:r w:rsidR="00F25BFE" w:rsidRPr="0049658D">
        <w:rPr>
          <w:rFonts w:ascii="Calibri" w:hAnsi="Calibri"/>
          <w:color w:val="000000"/>
          <w:sz w:val="28"/>
          <w:szCs w:val="28"/>
        </w:rPr>
        <w:t xml:space="preserve">competitive world, however, this will necessitate adopting world class </w:t>
      </w:r>
      <w:r w:rsidR="00F25BFE" w:rsidRPr="0049658D">
        <w:rPr>
          <w:rFonts w:ascii="Calibri" w:hAnsi="Calibri"/>
          <w:color w:val="000000"/>
          <w:sz w:val="28"/>
          <w:szCs w:val="28"/>
        </w:rPr>
        <w:lastRenderedPageBreak/>
        <w:t>standards and practices</w:t>
      </w:r>
      <w:r w:rsidR="009B5C94" w:rsidRPr="0049658D">
        <w:rPr>
          <w:rFonts w:ascii="Calibri" w:hAnsi="Calibri"/>
          <w:color w:val="000000"/>
          <w:sz w:val="28"/>
          <w:szCs w:val="28"/>
        </w:rPr>
        <w:t>, including supporting the young researchers in universities in Turkey,</w:t>
      </w:r>
      <w:r w:rsidR="001A184F" w:rsidRPr="0049658D">
        <w:rPr>
          <w:rFonts w:ascii="Calibri" w:hAnsi="Calibri"/>
          <w:color w:val="FF0000"/>
          <w:sz w:val="28"/>
          <w:szCs w:val="28"/>
        </w:rPr>
        <w:t xml:space="preserve"> </w:t>
      </w:r>
      <w:r w:rsidR="001A184F" w:rsidRPr="0049658D">
        <w:rPr>
          <w:rFonts w:ascii="Calibri" w:hAnsi="Calibri"/>
          <w:color w:val="000000"/>
          <w:sz w:val="28"/>
          <w:szCs w:val="28"/>
        </w:rPr>
        <w:t>as well as predictability and transparency in this sector</w:t>
      </w:r>
      <w:r w:rsidR="00F25BFE" w:rsidRPr="0049658D">
        <w:rPr>
          <w:rFonts w:ascii="Calibri" w:hAnsi="Calibri"/>
          <w:color w:val="000000"/>
          <w:sz w:val="28"/>
          <w:szCs w:val="28"/>
        </w:rPr>
        <w:t xml:space="preserve">.  </w:t>
      </w:r>
    </w:p>
    <w:p w:rsidR="00F25BFE" w:rsidRPr="0049658D" w:rsidRDefault="00F25BFE" w:rsidP="00FB2F82">
      <w:pPr>
        <w:rPr>
          <w:rFonts w:ascii="Calibri" w:hAnsi="Calibri"/>
          <w:color w:val="000000"/>
          <w:sz w:val="28"/>
          <w:szCs w:val="28"/>
        </w:rPr>
      </w:pPr>
    </w:p>
    <w:p w:rsidR="005C4DF4" w:rsidRPr="0049658D" w:rsidRDefault="00F25BFE" w:rsidP="00FB2F82">
      <w:pPr>
        <w:rPr>
          <w:rFonts w:ascii="Calibri" w:hAnsi="Calibri"/>
          <w:color w:val="000080"/>
          <w:sz w:val="28"/>
          <w:szCs w:val="28"/>
        </w:rPr>
      </w:pPr>
      <w:r w:rsidRPr="0049658D">
        <w:rPr>
          <w:rFonts w:ascii="Calibri" w:hAnsi="Calibri"/>
          <w:color w:val="000000"/>
          <w:sz w:val="28"/>
          <w:szCs w:val="28"/>
        </w:rPr>
        <w:t xml:space="preserve">The U.S-Turkey Business Council urges that </w:t>
      </w:r>
      <w:r w:rsidR="00942264" w:rsidRPr="0049658D">
        <w:rPr>
          <w:rFonts w:ascii="Calibri" w:hAnsi="Calibri"/>
          <w:color w:val="000000"/>
          <w:sz w:val="28"/>
          <w:szCs w:val="28"/>
        </w:rPr>
        <w:t>the governments would prioritize their</w:t>
      </w:r>
      <w:r w:rsidRPr="0049658D">
        <w:rPr>
          <w:rFonts w:ascii="Calibri" w:hAnsi="Calibri"/>
          <w:color w:val="000000"/>
          <w:sz w:val="28"/>
          <w:szCs w:val="28"/>
        </w:rPr>
        <w:t xml:space="preserve"> collaboration in this sector, particularly in the area of harmonizing regulatory standards</w:t>
      </w:r>
      <w:r w:rsidR="00B145B3" w:rsidRPr="0049658D">
        <w:rPr>
          <w:rFonts w:ascii="Calibri" w:hAnsi="Calibri"/>
          <w:color w:val="000000"/>
          <w:sz w:val="28"/>
          <w:szCs w:val="28"/>
        </w:rPr>
        <w:t xml:space="preserve"> and best practice sharing to incentivize investment</w:t>
      </w:r>
      <w:r w:rsidRPr="0049658D">
        <w:rPr>
          <w:rFonts w:ascii="Calibri" w:hAnsi="Calibri"/>
          <w:color w:val="000000"/>
          <w:sz w:val="28"/>
          <w:szCs w:val="28"/>
        </w:rPr>
        <w:t>.  Upgrading and harmonizing standards in these areas will strengthen the pro</w:t>
      </w:r>
      <w:r w:rsidR="00773EA5" w:rsidRPr="0049658D">
        <w:rPr>
          <w:rFonts w:ascii="Calibri" w:hAnsi="Calibri"/>
          <w:color w:val="000000"/>
          <w:sz w:val="28"/>
          <w:szCs w:val="28"/>
        </w:rPr>
        <w:t>s</w:t>
      </w:r>
      <w:r w:rsidRPr="0049658D">
        <w:rPr>
          <w:rFonts w:ascii="Calibri" w:hAnsi="Calibri"/>
          <w:color w:val="000000"/>
          <w:sz w:val="28"/>
          <w:szCs w:val="28"/>
        </w:rPr>
        <w:t>pects for the sector in both countries</w:t>
      </w:r>
      <w:r w:rsidR="002113C1" w:rsidRPr="0049658D">
        <w:rPr>
          <w:rFonts w:ascii="Calibri" w:hAnsi="Calibri"/>
          <w:color w:val="000000"/>
          <w:sz w:val="28"/>
          <w:szCs w:val="28"/>
        </w:rPr>
        <w:t xml:space="preserve">. It will also fortify </w:t>
      </w:r>
      <w:r w:rsidRPr="0049658D">
        <w:rPr>
          <w:rFonts w:ascii="Calibri" w:hAnsi="Calibri"/>
          <w:color w:val="000000"/>
          <w:sz w:val="28"/>
          <w:szCs w:val="28"/>
        </w:rPr>
        <w:t xml:space="preserve">the case for moving toward an FTA and ensuring that Turkey will be among equals at the U.S.-E.U. Trans-Atlantic Trade and Investment Partnership.  </w:t>
      </w:r>
    </w:p>
    <w:p w:rsidR="00F93AF8" w:rsidRPr="0049658D" w:rsidRDefault="00F93AF8" w:rsidP="00221ACF">
      <w:pPr>
        <w:rPr>
          <w:rFonts w:ascii="Calibri" w:hAnsi="Calibri"/>
          <w:color w:val="000000"/>
          <w:sz w:val="28"/>
          <w:szCs w:val="28"/>
          <w:u w:val="single"/>
        </w:rPr>
      </w:pPr>
    </w:p>
    <w:p w:rsidR="00221ACF" w:rsidRPr="0049658D" w:rsidRDefault="00221ACF" w:rsidP="00221ACF">
      <w:pPr>
        <w:rPr>
          <w:rFonts w:ascii="Calibri" w:hAnsi="Calibri"/>
          <w:b/>
          <w:color w:val="000000"/>
          <w:sz w:val="28"/>
          <w:szCs w:val="28"/>
        </w:rPr>
      </w:pPr>
      <w:r w:rsidRPr="0049658D">
        <w:rPr>
          <w:rFonts w:ascii="Calibri" w:hAnsi="Calibri"/>
          <w:b/>
          <w:color w:val="000000"/>
          <w:sz w:val="28"/>
          <w:szCs w:val="28"/>
          <w:u w:val="single"/>
        </w:rPr>
        <w:t>Recommendations</w:t>
      </w:r>
      <w:r w:rsidRPr="0049658D">
        <w:rPr>
          <w:rFonts w:ascii="Calibri" w:hAnsi="Calibri"/>
          <w:b/>
          <w:color w:val="000000"/>
          <w:sz w:val="28"/>
          <w:szCs w:val="28"/>
        </w:rPr>
        <w:t>:</w:t>
      </w:r>
    </w:p>
    <w:p w:rsidR="00221ACF" w:rsidRPr="0049658D" w:rsidRDefault="00221ACF" w:rsidP="00221ACF">
      <w:pPr>
        <w:rPr>
          <w:rFonts w:ascii="Calibri" w:hAnsi="Calibri"/>
          <w:color w:val="000000"/>
          <w:sz w:val="28"/>
          <w:szCs w:val="28"/>
        </w:rPr>
      </w:pPr>
    </w:p>
    <w:p w:rsidR="004C617D" w:rsidRPr="0049658D" w:rsidRDefault="00221ACF" w:rsidP="004C617D">
      <w:pPr>
        <w:rPr>
          <w:rFonts w:ascii="Calibri" w:hAnsi="Calibri"/>
          <w:color w:val="000000"/>
          <w:sz w:val="28"/>
          <w:szCs w:val="28"/>
        </w:rPr>
      </w:pPr>
      <w:r w:rsidRPr="0049658D">
        <w:rPr>
          <w:rFonts w:ascii="Calibri" w:hAnsi="Calibri"/>
          <w:color w:val="000000"/>
          <w:sz w:val="28"/>
          <w:szCs w:val="28"/>
        </w:rPr>
        <w:t xml:space="preserve">U.S. and Turkish policy-makers should agree to provide the necessary technical assistance and demonstrate strong political will to support the advancement of the Life Sciences sectors in both countries.  </w:t>
      </w:r>
    </w:p>
    <w:p w:rsidR="00221ACF" w:rsidRPr="0049658D" w:rsidRDefault="00221ACF" w:rsidP="00221ACF">
      <w:pPr>
        <w:rPr>
          <w:rFonts w:ascii="Calibri" w:hAnsi="Calibri"/>
          <w:color w:val="000000"/>
          <w:sz w:val="28"/>
          <w:szCs w:val="28"/>
        </w:rPr>
      </w:pPr>
    </w:p>
    <w:p w:rsidR="00221ACF" w:rsidRPr="0049658D" w:rsidRDefault="00221ACF" w:rsidP="00221ACF">
      <w:pPr>
        <w:pStyle w:val="ListParagraph"/>
        <w:numPr>
          <w:ilvl w:val="0"/>
          <w:numId w:val="4"/>
        </w:numPr>
        <w:rPr>
          <w:rFonts w:ascii="Calibri" w:hAnsi="Calibri"/>
          <w:color w:val="000000"/>
          <w:sz w:val="28"/>
          <w:szCs w:val="28"/>
        </w:rPr>
      </w:pPr>
      <w:r w:rsidRPr="0049658D">
        <w:rPr>
          <w:rFonts w:ascii="Calibri" w:hAnsi="Calibri"/>
          <w:color w:val="000000"/>
          <w:sz w:val="28"/>
          <w:szCs w:val="28"/>
        </w:rPr>
        <w:t xml:space="preserve">This includes cooperation in the regulatory sphere that would assist Turkish companies aiming to increase exports to the USA and find new partners there, and policy assistance that would help U.S. companies to benefit from a secure and predictable investment and operating environment in Turkey.  </w:t>
      </w:r>
      <w:r w:rsidR="009B5C94" w:rsidRPr="0049658D">
        <w:rPr>
          <w:rFonts w:ascii="Calibri" w:hAnsi="Calibri"/>
          <w:color w:val="000000"/>
          <w:sz w:val="28"/>
          <w:szCs w:val="28"/>
        </w:rPr>
        <w:t>Explore ways to connect possible partners as a means to increase exports to the USA.</w:t>
      </w:r>
    </w:p>
    <w:p w:rsidR="00221ACF" w:rsidRPr="0049658D" w:rsidRDefault="00221ACF" w:rsidP="00221ACF">
      <w:pPr>
        <w:rPr>
          <w:rFonts w:ascii="Calibri" w:hAnsi="Calibri"/>
          <w:color w:val="000000"/>
          <w:sz w:val="28"/>
          <w:szCs w:val="28"/>
        </w:rPr>
      </w:pPr>
    </w:p>
    <w:p w:rsidR="00221ACF" w:rsidRPr="0049658D" w:rsidRDefault="00221ACF" w:rsidP="00221ACF">
      <w:pPr>
        <w:pStyle w:val="ListParagraph"/>
        <w:numPr>
          <w:ilvl w:val="0"/>
          <w:numId w:val="4"/>
        </w:numPr>
        <w:rPr>
          <w:rFonts w:ascii="Calibri" w:hAnsi="Calibri"/>
          <w:color w:val="000000"/>
          <w:sz w:val="28"/>
          <w:szCs w:val="28"/>
        </w:rPr>
      </w:pPr>
      <w:r w:rsidRPr="0049658D">
        <w:rPr>
          <w:rFonts w:ascii="Calibri" w:hAnsi="Calibri"/>
          <w:color w:val="000000"/>
          <w:sz w:val="28"/>
          <w:szCs w:val="28"/>
        </w:rPr>
        <w:t>Given the size of the Life Sciences se</w:t>
      </w:r>
      <w:r w:rsidR="00F93AF8" w:rsidRPr="0049658D">
        <w:rPr>
          <w:rFonts w:ascii="Calibri" w:hAnsi="Calibri"/>
          <w:color w:val="000000"/>
          <w:sz w:val="28"/>
          <w:szCs w:val="28"/>
        </w:rPr>
        <w:t>ctor, it is important that the two</w:t>
      </w:r>
      <w:r w:rsidRPr="0049658D">
        <w:rPr>
          <w:rFonts w:ascii="Calibri" w:hAnsi="Calibri"/>
          <w:color w:val="000000"/>
          <w:sz w:val="28"/>
          <w:szCs w:val="28"/>
        </w:rPr>
        <w:t xml:space="preserve"> countries accelerate harmonization of standards (e.g. regulatory, market access including pricing and market-based exchange rates) in a manner that would provide a stronger foundation for FTA discussions or Turkey’s close involvement in the US-EU TTIP.</w:t>
      </w:r>
      <w:r w:rsidR="00B145B3" w:rsidRPr="0049658D">
        <w:rPr>
          <w:rFonts w:ascii="Calibri" w:hAnsi="Calibri"/>
          <w:color w:val="000000"/>
          <w:sz w:val="28"/>
          <w:szCs w:val="28"/>
        </w:rPr>
        <w:t xml:space="preserve"> Specifically, </w:t>
      </w:r>
    </w:p>
    <w:p w:rsidR="00B145B3" w:rsidRPr="0049658D" w:rsidRDefault="00B145B3" w:rsidP="00B145B3">
      <w:pPr>
        <w:pStyle w:val="ListParagraph"/>
        <w:rPr>
          <w:rFonts w:ascii="Calibri" w:hAnsi="Calibri"/>
          <w:color w:val="000000"/>
          <w:sz w:val="28"/>
          <w:szCs w:val="28"/>
        </w:rPr>
      </w:pPr>
    </w:p>
    <w:p w:rsidR="00B145B3" w:rsidRPr="0049658D" w:rsidRDefault="00B145B3" w:rsidP="00B145B3">
      <w:pPr>
        <w:pStyle w:val="ListParagraph"/>
        <w:numPr>
          <w:ilvl w:val="1"/>
          <w:numId w:val="4"/>
        </w:numPr>
        <w:rPr>
          <w:rFonts w:ascii="Calibri" w:hAnsi="Calibri"/>
          <w:color w:val="000000"/>
          <w:sz w:val="28"/>
          <w:szCs w:val="28"/>
        </w:rPr>
      </w:pPr>
      <w:r w:rsidRPr="0049658D">
        <w:rPr>
          <w:rFonts w:ascii="Calibri" w:hAnsi="Calibri"/>
          <w:b/>
          <w:bCs/>
          <w:color w:val="000000"/>
          <w:sz w:val="28"/>
          <w:szCs w:val="28"/>
        </w:rPr>
        <w:t>Ensure local market price of products is not barrier to exports</w:t>
      </w:r>
      <w:r w:rsidRPr="0049658D">
        <w:rPr>
          <w:rFonts w:ascii="Calibri" w:hAnsi="Calibri"/>
          <w:color w:val="000000"/>
          <w:sz w:val="28"/>
          <w:szCs w:val="28"/>
        </w:rPr>
        <w:t xml:space="preserve">. </w:t>
      </w:r>
      <w:r w:rsidRPr="0049658D">
        <w:rPr>
          <w:rFonts w:ascii="Calibri" w:hAnsi="Calibri"/>
          <w:b/>
          <w:bCs/>
          <w:color w:val="000000"/>
          <w:sz w:val="28"/>
          <w:szCs w:val="28"/>
        </w:rPr>
        <w:t xml:space="preserve">Confirm timetable </w:t>
      </w:r>
      <w:r w:rsidRPr="0049658D">
        <w:rPr>
          <w:rFonts w:ascii="Calibri" w:hAnsi="Calibri"/>
          <w:color w:val="000000"/>
          <w:sz w:val="28"/>
          <w:szCs w:val="28"/>
        </w:rPr>
        <w:t>to move to 100% of FX rate by 2019.</w:t>
      </w:r>
    </w:p>
    <w:p w:rsidR="00B145B3" w:rsidRPr="0049658D" w:rsidRDefault="00B145B3" w:rsidP="00B145B3">
      <w:pPr>
        <w:pStyle w:val="ListParagraph"/>
        <w:numPr>
          <w:ilvl w:val="1"/>
          <w:numId w:val="4"/>
        </w:numPr>
        <w:rPr>
          <w:rFonts w:ascii="Calibri" w:hAnsi="Calibri"/>
          <w:color w:val="000000"/>
          <w:sz w:val="28"/>
          <w:szCs w:val="28"/>
        </w:rPr>
      </w:pPr>
      <w:r w:rsidRPr="0049658D">
        <w:rPr>
          <w:rFonts w:ascii="Calibri" w:hAnsi="Calibri"/>
          <w:b/>
          <w:bCs/>
          <w:color w:val="000000"/>
          <w:sz w:val="28"/>
          <w:szCs w:val="28"/>
        </w:rPr>
        <w:t xml:space="preserve">Promote industry dialogue with government </w:t>
      </w:r>
      <w:r w:rsidRPr="0049658D">
        <w:rPr>
          <w:rFonts w:ascii="Calibri" w:hAnsi="Calibri"/>
          <w:color w:val="000000"/>
          <w:sz w:val="28"/>
          <w:szCs w:val="28"/>
        </w:rPr>
        <w:t>to:</w:t>
      </w:r>
    </w:p>
    <w:p w:rsidR="00B145B3" w:rsidRPr="0049658D" w:rsidRDefault="00B145B3" w:rsidP="00B145B3">
      <w:pPr>
        <w:pStyle w:val="ListParagraph"/>
        <w:ind w:left="1440"/>
        <w:rPr>
          <w:rFonts w:ascii="Calibri" w:hAnsi="Calibri"/>
          <w:color w:val="000000"/>
          <w:sz w:val="28"/>
          <w:szCs w:val="28"/>
        </w:rPr>
      </w:pPr>
      <w:r w:rsidRPr="0049658D">
        <w:rPr>
          <w:rFonts w:ascii="Calibri" w:hAnsi="Calibri"/>
          <w:color w:val="000000"/>
          <w:sz w:val="28"/>
          <w:szCs w:val="28"/>
        </w:rPr>
        <w:t>1) Ensure fair and transparent public tender procedures</w:t>
      </w:r>
    </w:p>
    <w:p w:rsidR="00B145B3" w:rsidRPr="0049658D" w:rsidRDefault="00B145B3" w:rsidP="00B145B3">
      <w:pPr>
        <w:pStyle w:val="ListParagraph"/>
        <w:ind w:left="1440"/>
        <w:rPr>
          <w:rFonts w:ascii="Calibri" w:hAnsi="Calibri"/>
          <w:color w:val="000000"/>
          <w:sz w:val="28"/>
          <w:szCs w:val="28"/>
        </w:rPr>
      </w:pPr>
      <w:r w:rsidRPr="0049658D">
        <w:rPr>
          <w:rFonts w:ascii="Calibri" w:hAnsi="Calibri"/>
          <w:color w:val="000000"/>
          <w:sz w:val="28"/>
          <w:szCs w:val="28"/>
        </w:rPr>
        <w:t>2) Review opportunities for incentives for investments in manufacturing and other R&amp;D and pharma-related investments</w:t>
      </w:r>
    </w:p>
    <w:p w:rsidR="00F93AF8" w:rsidRPr="0049658D" w:rsidRDefault="00F93AF8" w:rsidP="00F93AF8">
      <w:pPr>
        <w:pStyle w:val="ListParagraph"/>
        <w:numPr>
          <w:ilvl w:val="1"/>
          <w:numId w:val="4"/>
        </w:numPr>
        <w:rPr>
          <w:rFonts w:ascii="Calibri" w:hAnsi="Calibri"/>
          <w:color w:val="000000"/>
          <w:sz w:val="28"/>
          <w:szCs w:val="28"/>
        </w:rPr>
      </w:pPr>
      <w:r w:rsidRPr="0049658D">
        <w:rPr>
          <w:rFonts w:ascii="Calibri" w:hAnsi="Calibri"/>
          <w:b/>
          <w:bCs/>
          <w:color w:val="000000"/>
          <w:sz w:val="28"/>
          <w:szCs w:val="28"/>
        </w:rPr>
        <w:lastRenderedPageBreak/>
        <w:t xml:space="preserve">Extend concurrent GMP and registration applications to Category II </w:t>
      </w:r>
      <w:r w:rsidRPr="0049658D">
        <w:rPr>
          <w:rFonts w:ascii="Calibri" w:hAnsi="Calibri"/>
          <w:color w:val="000000"/>
          <w:sz w:val="28"/>
          <w:szCs w:val="28"/>
        </w:rPr>
        <w:t>to expedite patient access.</w:t>
      </w:r>
    </w:p>
    <w:p w:rsidR="00F93AF8" w:rsidRPr="0049658D" w:rsidRDefault="00F93AF8" w:rsidP="00F93AF8">
      <w:pPr>
        <w:pStyle w:val="ListParagraph"/>
        <w:numPr>
          <w:ilvl w:val="1"/>
          <w:numId w:val="4"/>
        </w:numPr>
        <w:rPr>
          <w:rFonts w:ascii="Calibri" w:hAnsi="Calibri"/>
          <w:color w:val="000000"/>
          <w:sz w:val="28"/>
          <w:szCs w:val="28"/>
        </w:rPr>
      </w:pPr>
      <w:r w:rsidRPr="0049658D">
        <w:rPr>
          <w:rFonts w:ascii="Calibri" w:hAnsi="Calibri"/>
          <w:b/>
          <w:bCs/>
          <w:color w:val="000000"/>
          <w:sz w:val="28"/>
          <w:szCs w:val="28"/>
        </w:rPr>
        <w:t xml:space="preserve">Implement risk-based assessments on-file </w:t>
      </w:r>
      <w:r w:rsidRPr="0049658D">
        <w:rPr>
          <w:rFonts w:ascii="Calibri" w:hAnsi="Calibri"/>
          <w:color w:val="000000"/>
          <w:sz w:val="28"/>
          <w:szCs w:val="28"/>
        </w:rPr>
        <w:t xml:space="preserve">by relevant experts </w:t>
      </w:r>
      <w:r w:rsidRPr="0049658D">
        <w:rPr>
          <w:rFonts w:ascii="Calibri" w:hAnsi="Calibri"/>
          <w:b/>
          <w:bCs/>
          <w:color w:val="000000"/>
          <w:sz w:val="28"/>
          <w:szCs w:val="28"/>
        </w:rPr>
        <w:t xml:space="preserve">for an expedited review of sites </w:t>
      </w:r>
      <w:r w:rsidRPr="0049658D">
        <w:rPr>
          <w:rFonts w:ascii="Calibri" w:hAnsi="Calibri"/>
          <w:color w:val="000000"/>
          <w:sz w:val="28"/>
          <w:szCs w:val="28"/>
        </w:rPr>
        <w:t xml:space="preserve">approved by </w:t>
      </w:r>
      <w:r w:rsidRPr="0049658D">
        <w:rPr>
          <w:rFonts w:ascii="Calibri" w:hAnsi="Calibri"/>
          <w:b/>
          <w:bCs/>
          <w:color w:val="000000"/>
          <w:sz w:val="28"/>
          <w:szCs w:val="28"/>
        </w:rPr>
        <w:t xml:space="preserve">FDA or EMA. </w:t>
      </w:r>
    </w:p>
    <w:p w:rsidR="00F93AF8" w:rsidRPr="0049658D" w:rsidRDefault="00F93AF8" w:rsidP="00F93AF8">
      <w:pPr>
        <w:pStyle w:val="ListParagraph"/>
        <w:numPr>
          <w:ilvl w:val="1"/>
          <w:numId w:val="4"/>
        </w:numPr>
        <w:rPr>
          <w:rFonts w:ascii="Calibri" w:hAnsi="Calibri"/>
          <w:color w:val="000000"/>
          <w:sz w:val="28"/>
          <w:szCs w:val="28"/>
        </w:rPr>
      </w:pPr>
      <w:r w:rsidRPr="0049658D">
        <w:rPr>
          <w:rFonts w:ascii="Calibri" w:hAnsi="Calibri"/>
          <w:b/>
          <w:bCs/>
          <w:color w:val="000000"/>
          <w:sz w:val="28"/>
          <w:szCs w:val="28"/>
        </w:rPr>
        <w:t xml:space="preserve">Finalize membership by Turkish Pharmaceutical and Medical Devices Agency (TITCK) in PIC/S </w:t>
      </w:r>
      <w:r w:rsidRPr="0049658D">
        <w:rPr>
          <w:rFonts w:ascii="Calibri" w:hAnsi="Calibri"/>
          <w:color w:val="000000"/>
          <w:sz w:val="28"/>
          <w:szCs w:val="28"/>
        </w:rPr>
        <w:t>including FDA and other EU authorities.</w:t>
      </w:r>
    </w:p>
    <w:p w:rsidR="00F93AF8" w:rsidRPr="0049658D" w:rsidRDefault="00F93AF8" w:rsidP="00F93AF8">
      <w:pPr>
        <w:rPr>
          <w:rFonts w:ascii="Calibri" w:hAnsi="Calibri"/>
          <w:color w:val="000000"/>
          <w:sz w:val="28"/>
          <w:szCs w:val="28"/>
        </w:rPr>
      </w:pPr>
    </w:p>
    <w:p w:rsidR="00221ACF" w:rsidRPr="0049658D" w:rsidRDefault="00221ACF" w:rsidP="00221ACF">
      <w:pPr>
        <w:pStyle w:val="ListParagraph"/>
        <w:rPr>
          <w:rFonts w:ascii="Calibri" w:hAnsi="Calibri"/>
          <w:color w:val="000000"/>
          <w:sz w:val="28"/>
          <w:szCs w:val="28"/>
        </w:rPr>
      </w:pPr>
    </w:p>
    <w:p w:rsidR="004C617D" w:rsidRPr="0049658D" w:rsidRDefault="00221ACF" w:rsidP="00F93AF8">
      <w:pPr>
        <w:pStyle w:val="ListParagraph"/>
        <w:numPr>
          <w:ilvl w:val="0"/>
          <w:numId w:val="4"/>
        </w:numPr>
        <w:rPr>
          <w:rFonts w:ascii="Calibri" w:hAnsi="Calibri"/>
          <w:color w:val="000000"/>
          <w:sz w:val="28"/>
          <w:szCs w:val="28"/>
        </w:rPr>
      </w:pPr>
      <w:r w:rsidRPr="0049658D">
        <w:rPr>
          <w:rFonts w:ascii="Calibri" w:hAnsi="Calibri"/>
          <w:color w:val="000000"/>
          <w:sz w:val="28"/>
          <w:szCs w:val="28"/>
        </w:rPr>
        <w:t>The US Government should direct the FDA to conduct 2-3 technical workshops in Turkey in 201</w:t>
      </w:r>
      <w:r w:rsidR="001278DD">
        <w:rPr>
          <w:rFonts w:ascii="Calibri" w:hAnsi="Calibri"/>
          <w:color w:val="000000"/>
          <w:sz w:val="28"/>
          <w:szCs w:val="28"/>
        </w:rPr>
        <w:t>7-18</w:t>
      </w:r>
      <w:r w:rsidRPr="0049658D">
        <w:rPr>
          <w:rFonts w:ascii="Calibri" w:hAnsi="Calibri"/>
          <w:color w:val="000000"/>
          <w:sz w:val="28"/>
          <w:szCs w:val="28"/>
        </w:rPr>
        <w:t xml:space="preserve"> focusing on the regulatory process and requirements for approving exports of pharmaceuticals, food and agricultural products.  </w:t>
      </w:r>
      <w:r w:rsidR="00F93AF8" w:rsidRPr="0049658D">
        <w:rPr>
          <w:rFonts w:ascii="Calibri" w:hAnsi="Calibri"/>
          <w:color w:val="000000"/>
          <w:sz w:val="28"/>
          <w:szCs w:val="28"/>
        </w:rPr>
        <w:t xml:space="preserve"> </w:t>
      </w:r>
    </w:p>
    <w:p w:rsidR="004C617D" w:rsidRPr="0049658D" w:rsidRDefault="00B145B3" w:rsidP="004C617D">
      <w:pPr>
        <w:pStyle w:val="ListParagraph"/>
        <w:numPr>
          <w:ilvl w:val="0"/>
          <w:numId w:val="4"/>
        </w:numPr>
        <w:rPr>
          <w:rFonts w:ascii="Calibri" w:hAnsi="Calibri"/>
          <w:color w:val="000000"/>
          <w:sz w:val="28"/>
          <w:szCs w:val="28"/>
        </w:rPr>
      </w:pPr>
      <w:r w:rsidRPr="0049658D">
        <w:rPr>
          <w:rFonts w:ascii="Calibri" w:hAnsi="Calibri"/>
          <w:color w:val="000000"/>
          <w:sz w:val="28"/>
          <w:szCs w:val="28"/>
        </w:rPr>
        <w:t>Create a formal role of private sector engagement and inpu</w:t>
      </w:r>
      <w:r w:rsidR="001278DD">
        <w:rPr>
          <w:rFonts w:ascii="Calibri" w:hAnsi="Calibri"/>
          <w:color w:val="000000"/>
          <w:sz w:val="28"/>
          <w:szCs w:val="28"/>
        </w:rPr>
        <w:t>t with and into the new Health C</w:t>
      </w:r>
      <w:r w:rsidRPr="0049658D">
        <w:rPr>
          <w:rFonts w:ascii="Calibri" w:hAnsi="Calibri"/>
          <w:color w:val="000000"/>
          <w:sz w:val="28"/>
          <w:szCs w:val="28"/>
        </w:rPr>
        <w:t>are Steering Committee</w:t>
      </w:r>
    </w:p>
    <w:p w:rsidR="009B5C94" w:rsidRPr="0049658D" w:rsidRDefault="009B5C94" w:rsidP="009B5C94">
      <w:pPr>
        <w:pStyle w:val="ListParagraph"/>
        <w:numPr>
          <w:ilvl w:val="0"/>
          <w:numId w:val="4"/>
        </w:numPr>
        <w:rPr>
          <w:rFonts w:ascii="Calibri" w:hAnsi="Calibri"/>
          <w:color w:val="000000"/>
          <w:sz w:val="28"/>
          <w:szCs w:val="28"/>
        </w:rPr>
      </w:pPr>
      <w:r w:rsidRPr="0049658D">
        <w:rPr>
          <w:rFonts w:ascii="Calibri" w:hAnsi="Calibri"/>
          <w:color w:val="000000"/>
          <w:sz w:val="28"/>
          <w:szCs w:val="28"/>
        </w:rPr>
        <w:t>Leverage Turkish expertise especially on phytotherapy and conventional methods for R&amp;D of innovative products.</w:t>
      </w:r>
    </w:p>
    <w:p w:rsidR="006A36FC" w:rsidRPr="0049658D" w:rsidRDefault="00A15B27" w:rsidP="00FB2F82">
      <w:pPr>
        <w:pStyle w:val="ListParagraph"/>
        <w:numPr>
          <w:ilvl w:val="0"/>
          <w:numId w:val="4"/>
        </w:numPr>
        <w:rPr>
          <w:rFonts w:asciiTheme="minorHAnsi" w:hAnsiTheme="minorHAnsi"/>
          <w:color w:val="000000"/>
          <w:sz w:val="28"/>
          <w:szCs w:val="28"/>
        </w:rPr>
      </w:pPr>
      <w:r w:rsidRPr="0049658D">
        <w:rPr>
          <w:rFonts w:asciiTheme="minorHAnsi" w:hAnsiTheme="minorHAnsi"/>
          <w:color w:val="000000"/>
          <w:sz w:val="28"/>
          <w:szCs w:val="28"/>
        </w:rPr>
        <w:t>Ensure an attractive</w:t>
      </w:r>
      <w:bookmarkStart w:id="0" w:name="_GoBack"/>
      <w:bookmarkEnd w:id="0"/>
      <w:r w:rsidRPr="0049658D">
        <w:rPr>
          <w:rFonts w:asciiTheme="minorHAnsi" w:hAnsiTheme="minorHAnsi"/>
          <w:color w:val="000000"/>
          <w:sz w:val="28"/>
          <w:szCs w:val="28"/>
        </w:rPr>
        <w:t xml:space="preserve"> investment climate by refraining from implementing </w:t>
      </w:r>
      <w:r w:rsidRPr="0049658D">
        <w:rPr>
          <w:rFonts w:asciiTheme="minorHAnsi" w:eastAsia="Batang" w:hAnsiTheme="minorHAnsi" w:cs="Arial"/>
          <w:sz w:val="28"/>
          <w:szCs w:val="28"/>
        </w:rPr>
        <w:t xml:space="preserve">preferential reimbursement arrangements for healthcare products produced domestically and the delisting of imported products from the reimbursement list </w:t>
      </w:r>
      <w:r w:rsidR="008F304A" w:rsidRPr="0049658D">
        <w:rPr>
          <w:rFonts w:asciiTheme="minorHAnsi" w:eastAsia="Batang" w:hAnsiTheme="minorHAnsi" w:cs="Arial"/>
          <w:sz w:val="28"/>
          <w:szCs w:val="28"/>
        </w:rPr>
        <w:t xml:space="preserve">as </w:t>
      </w:r>
      <w:r w:rsidRPr="0049658D">
        <w:rPr>
          <w:rFonts w:asciiTheme="minorHAnsi" w:eastAsia="Batang" w:hAnsiTheme="minorHAnsi" w:cs="Arial"/>
          <w:sz w:val="28"/>
          <w:szCs w:val="28"/>
        </w:rPr>
        <w:t xml:space="preserve">such measures appear to be inconsistent with the WTO’s national treatment requirements. </w:t>
      </w:r>
      <w:r w:rsidRPr="0049658D">
        <w:rPr>
          <w:rFonts w:asciiTheme="minorHAnsi" w:hAnsiTheme="minorHAnsi"/>
          <w:color w:val="000000"/>
          <w:sz w:val="28"/>
          <w:szCs w:val="28"/>
        </w:rPr>
        <w:t xml:space="preserve"> </w:t>
      </w:r>
    </w:p>
    <w:p w:rsidR="006A36FC" w:rsidRPr="006A36FC" w:rsidRDefault="006A36FC" w:rsidP="006A36FC">
      <w:pPr>
        <w:rPr>
          <w:rFonts w:ascii="Calibri" w:hAnsi="Calibri"/>
          <w:sz w:val="22"/>
          <w:szCs w:val="22"/>
        </w:rPr>
      </w:pPr>
    </w:p>
    <w:p w:rsidR="006A36FC" w:rsidRPr="006A36FC" w:rsidRDefault="006A36FC" w:rsidP="006A36FC">
      <w:pPr>
        <w:rPr>
          <w:rFonts w:ascii="Calibri" w:hAnsi="Calibri"/>
          <w:sz w:val="22"/>
          <w:szCs w:val="22"/>
        </w:rPr>
      </w:pPr>
    </w:p>
    <w:p w:rsidR="006A36FC" w:rsidRPr="006A36FC" w:rsidRDefault="006A36FC" w:rsidP="006A36FC">
      <w:pPr>
        <w:rPr>
          <w:rFonts w:ascii="Calibri" w:hAnsi="Calibri"/>
          <w:sz w:val="22"/>
          <w:szCs w:val="22"/>
        </w:rPr>
      </w:pPr>
    </w:p>
    <w:p w:rsidR="006A36FC" w:rsidRDefault="006A36FC" w:rsidP="006A36FC">
      <w:pPr>
        <w:rPr>
          <w:rFonts w:ascii="Calibri" w:hAnsi="Calibri"/>
          <w:sz w:val="22"/>
          <w:szCs w:val="22"/>
        </w:rPr>
      </w:pPr>
    </w:p>
    <w:p w:rsidR="00C53F42" w:rsidRDefault="006A36FC" w:rsidP="006A36FC">
      <w:pPr>
        <w:tabs>
          <w:tab w:val="left" w:pos="3382"/>
        </w:tabs>
        <w:rPr>
          <w:rFonts w:ascii="Calibri" w:hAnsi="Calibri"/>
          <w:sz w:val="22"/>
          <w:szCs w:val="22"/>
        </w:rPr>
      </w:pPr>
      <w:r>
        <w:rPr>
          <w:rFonts w:ascii="Calibri" w:hAnsi="Calibri"/>
          <w:sz w:val="22"/>
          <w:szCs w:val="22"/>
        </w:rPr>
        <w:tab/>
      </w:r>
    </w:p>
    <w:p w:rsidR="006A36FC" w:rsidRPr="006A36FC" w:rsidRDefault="006A36FC" w:rsidP="006A36FC">
      <w:pPr>
        <w:tabs>
          <w:tab w:val="left" w:pos="3382"/>
        </w:tabs>
        <w:rPr>
          <w:rFonts w:ascii="Calibri" w:hAnsi="Calibri"/>
          <w:sz w:val="22"/>
          <w:szCs w:val="22"/>
        </w:rPr>
      </w:pPr>
    </w:p>
    <w:sectPr w:rsidR="006A36FC" w:rsidRPr="006A36FC" w:rsidSect="000814D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337" w:rsidRDefault="002A5337" w:rsidP="003C2CC8">
      <w:r>
        <w:separator/>
      </w:r>
    </w:p>
  </w:endnote>
  <w:endnote w:type="continuationSeparator" w:id="0">
    <w:p w:rsidR="002A5337" w:rsidRDefault="002A5337" w:rsidP="003C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746718"/>
      <w:docPartObj>
        <w:docPartGallery w:val="Page Numbers (Bottom of Page)"/>
        <w:docPartUnique/>
      </w:docPartObj>
    </w:sdtPr>
    <w:sdtEndPr>
      <w:rPr>
        <w:noProof/>
      </w:rPr>
    </w:sdtEndPr>
    <w:sdtContent>
      <w:p w:rsidR="001278DD" w:rsidRDefault="001278D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1278DD" w:rsidRDefault="00127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337" w:rsidRDefault="002A5337" w:rsidP="003C2CC8">
      <w:r>
        <w:separator/>
      </w:r>
    </w:p>
  </w:footnote>
  <w:footnote w:type="continuationSeparator" w:id="0">
    <w:p w:rsidR="002A5337" w:rsidRDefault="002A5337" w:rsidP="003C2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96FF3"/>
    <w:multiLevelType w:val="hybridMultilevel"/>
    <w:tmpl w:val="63040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40181A"/>
    <w:multiLevelType w:val="hybridMultilevel"/>
    <w:tmpl w:val="A5B2452A"/>
    <w:lvl w:ilvl="0" w:tplc="AEEE6EA2">
      <w:start w:val="1"/>
      <w:numFmt w:val="bullet"/>
      <w:lvlText w:val="•"/>
      <w:lvlJc w:val="left"/>
      <w:pPr>
        <w:tabs>
          <w:tab w:val="num" w:pos="720"/>
        </w:tabs>
        <w:ind w:left="720" w:hanging="360"/>
      </w:pPr>
      <w:rPr>
        <w:rFonts w:ascii="Arial" w:hAnsi="Arial" w:hint="default"/>
      </w:rPr>
    </w:lvl>
    <w:lvl w:ilvl="1" w:tplc="D60C0C4A" w:tentative="1">
      <w:start w:val="1"/>
      <w:numFmt w:val="bullet"/>
      <w:lvlText w:val="•"/>
      <w:lvlJc w:val="left"/>
      <w:pPr>
        <w:tabs>
          <w:tab w:val="num" w:pos="1440"/>
        </w:tabs>
        <w:ind w:left="1440" w:hanging="360"/>
      </w:pPr>
      <w:rPr>
        <w:rFonts w:ascii="Arial" w:hAnsi="Arial" w:hint="default"/>
      </w:rPr>
    </w:lvl>
    <w:lvl w:ilvl="2" w:tplc="E3165C7A" w:tentative="1">
      <w:start w:val="1"/>
      <w:numFmt w:val="bullet"/>
      <w:lvlText w:val="•"/>
      <w:lvlJc w:val="left"/>
      <w:pPr>
        <w:tabs>
          <w:tab w:val="num" w:pos="2160"/>
        </w:tabs>
        <w:ind w:left="2160" w:hanging="360"/>
      </w:pPr>
      <w:rPr>
        <w:rFonts w:ascii="Arial" w:hAnsi="Arial" w:hint="default"/>
      </w:rPr>
    </w:lvl>
    <w:lvl w:ilvl="3" w:tplc="42A4063A" w:tentative="1">
      <w:start w:val="1"/>
      <w:numFmt w:val="bullet"/>
      <w:lvlText w:val="•"/>
      <w:lvlJc w:val="left"/>
      <w:pPr>
        <w:tabs>
          <w:tab w:val="num" w:pos="2880"/>
        </w:tabs>
        <w:ind w:left="2880" w:hanging="360"/>
      </w:pPr>
      <w:rPr>
        <w:rFonts w:ascii="Arial" w:hAnsi="Arial" w:hint="default"/>
      </w:rPr>
    </w:lvl>
    <w:lvl w:ilvl="4" w:tplc="491630AA" w:tentative="1">
      <w:start w:val="1"/>
      <w:numFmt w:val="bullet"/>
      <w:lvlText w:val="•"/>
      <w:lvlJc w:val="left"/>
      <w:pPr>
        <w:tabs>
          <w:tab w:val="num" w:pos="3600"/>
        </w:tabs>
        <w:ind w:left="3600" w:hanging="360"/>
      </w:pPr>
      <w:rPr>
        <w:rFonts w:ascii="Arial" w:hAnsi="Arial" w:hint="default"/>
      </w:rPr>
    </w:lvl>
    <w:lvl w:ilvl="5" w:tplc="54B4CFB6" w:tentative="1">
      <w:start w:val="1"/>
      <w:numFmt w:val="bullet"/>
      <w:lvlText w:val="•"/>
      <w:lvlJc w:val="left"/>
      <w:pPr>
        <w:tabs>
          <w:tab w:val="num" w:pos="4320"/>
        </w:tabs>
        <w:ind w:left="4320" w:hanging="360"/>
      </w:pPr>
      <w:rPr>
        <w:rFonts w:ascii="Arial" w:hAnsi="Arial" w:hint="default"/>
      </w:rPr>
    </w:lvl>
    <w:lvl w:ilvl="6" w:tplc="F9AE2926" w:tentative="1">
      <w:start w:val="1"/>
      <w:numFmt w:val="bullet"/>
      <w:lvlText w:val="•"/>
      <w:lvlJc w:val="left"/>
      <w:pPr>
        <w:tabs>
          <w:tab w:val="num" w:pos="5040"/>
        </w:tabs>
        <w:ind w:left="5040" w:hanging="360"/>
      </w:pPr>
      <w:rPr>
        <w:rFonts w:ascii="Arial" w:hAnsi="Arial" w:hint="default"/>
      </w:rPr>
    </w:lvl>
    <w:lvl w:ilvl="7" w:tplc="2312AE20" w:tentative="1">
      <w:start w:val="1"/>
      <w:numFmt w:val="bullet"/>
      <w:lvlText w:val="•"/>
      <w:lvlJc w:val="left"/>
      <w:pPr>
        <w:tabs>
          <w:tab w:val="num" w:pos="5760"/>
        </w:tabs>
        <w:ind w:left="5760" w:hanging="360"/>
      </w:pPr>
      <w:rPr>
        <w:rFonts w:ascii="Arial" w:hAnsi="Arial" w:hint="default"/>
      </w:rPr>
    </w:lvl>
    <w:lvl w:ilvl="8" w:tplc="9A46F434" w:tentative="1">
      <w:start w:val="1"/>
      <w:numFmt w:val="bullet"/>
      <w:lvlText w:val="•"/>
      <w:lvlJc w:val="left"/>
      <w:pPr>
        <w:tabs>
          <w:tab w:val="num" w:pos="6480"/>
        </w:tabs>
        <w:ind w:left="6480" w:hanging="360"/>
      </w:pPr>
      <w:rPr>
        <w:rFonts w:ascii="Arial" w:hAnsi="Arial" w:hint="default"/>
      </w:rPr>
    </w:lvl>
  </w:abstractNum>
  <w:abstractNum w:abstractNumId="2">
    <w:nsid w:val="414E205E"/>
    <w:multiLevelType w:val="hybridMultilevel"/>
    <w:tmpl w:val="22A4640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1777BAA"/>
    <w:multiLevelType w:val="hybridMultilevel"/>
    <w:tmpl w:val="55C26DAE"/>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E452047"/>
    <w:multiLevelType w:val="hybridMultilevel"/>
    <w:tmpl w:val="D9B0F8D8"/>
    <w:lvl w:ilvl="0" w:tplc="1C3EBAD6">
      <w:start w:val="1"/>
      <w:numFmt w:val="bullet"/>
      <w:lvlText w:val="•"/>
      <w:lvlJc w:val="left"/>
      <w:pPr>
        <w:tabs>
          <w:tab w:val="num" w:pos="720"/>
        </w:tabs>
        <w:ind w:left="720" w:hanging="360"/>
      </w:pPr>
      <w:rPr>
        <w:rFonts w:ascii="Arial" w:hAnsi="Arial" w:hint="default"/>
      </w:rPr>
    </w:lvl>
    <w:lvl w:ilvl="1" w:tplc="4680FF54" w:tentative="1">
      <w:start w:val="1"/>
      <w:numFmt w:val="bullet"/>
      <w:lvlText w:val="•"/>
      <w:lvlJc w:val="left"/>
      <w:pPr>
        <w:tabs>
          <w:tab w:val="num" w:pos="1440"/>
        </w:tabs>
        <w:ind w:left="1440" w:hanging="360"/>
      </w:pPr>
      <w:rPr>
        <w:rFonts w:ascii="Arial" w:hAnsi="Arial" w:hint="default"/>
      </w:rPr>
    </w:lvl>
    <w:lvl w:ilvl="2" w:tplc="C324CB38" w:tentative="1">
      <w:start w:val="1"/>
      <w:numFmt w:val="bullet"/>
      <w:lvlText w:val="•"/>
      <w:lvlJc w:val="left"/>
      <w:pPr>
        <w:tabs>
          <w:tab w:val="num" w:pos="2160"/>
        </w:tabs>
        <w:ind w:left="2160" w:hanging="360"/>
      </w:pPr>
      <w:rPr>
        <w:rFonts w:ascii="Arial" w:hAnsi="Arial" w:hint="default"/>
      </w:rPr>
    </w:lvl>
    <w:lvl w:ilvl="3" w:tplc="C2748B9A" w:tentative="1">
      <w:start w:val="1"/>
      <w:numFmt w:val="bullet"/>
      <w:lvlText w:val="•"/>
      <w:lvlJc w:val="left"/>
      <w:pPr>
        <w:tabs>
          <w:tab w:val="num" w:pos="2880"/>
        </w:tabs>
        <w:ind w:left="2880" w:hanging="360"/>
      </w:pPr>
      <w:rPr>
        <w:rFonts w:ascii="Arial" w:hAnsi="Arial" w:hint="default"/>
      </w:rPr>
    </w:lvl>
    <w:lvl w:ilvl="4" w:tplc="0E74E330" w:tentative="1">
      <w:start w:val="1"/>
      <w:numFmt w:val="bullet"/>
      <w:lvlText w:val="•"/>
      <w:lvlJc w:val="left"/>
      <w:pPr>
        <w:tabs>
          <w:tab w:val="num" w:pos="3600"/>
        </w:tabs>
        <w:ind w:left="3600" w:hanging="360"/>
      </w:pPr>
      <w:rPr>
        <w:rFonts w:ascii="Arial" w:hAnsi="Arial" w:hint="default"/>
      </w:rPr>
    </w:lvl>
    <w:lvl w:ilvl="5" w:tplc="55C851BE" w:tentative="1">
      <w:start w:val="1"/>
      <w:numFmt w:val="bullet"/>
      <w:lvlText w:val="•"/>
      <w:lvlJc w:val="left"/>
      <w:pPr>
        <w:tabs>
          <w:tab w:val="num" w:pos="4320"/>
        </w:tabs>
        <w:ind w:left="4320" w:hanging="360"/>
      </w:pPr>
      <w:rPr>
        <w:rFonts w:ascii="Arial" w:hAnsi="Arial" w:hint="default"/>
      </w:rPr>
    </w:lvl>
    <w:lvl w:ilvl="6" w:tplc="60366CFC" w:tentative="1">
      <w:start w:val="1"/>
      <w:numFmt w:val="bullet"/>
      <w:lvlText w:val="•"/>
      <w:lvlJc w:val="left"/>
      <w:pPr>
        <w:tabs>
          <w:tab w:val="num" w:pos="5040"/>
        </w:tabs>
        <w:ind w:left="5040" w:hanging="360"/>
      </w:pPr>
      <w:rPr>
        <w:rFonts w:ascii="Arial" w:hAnsi="Arial" w:hint="default"/>
      </w:rPr>
    </w:lvl>
    <w:lvl w:ilvl="7" w:tplc="96B8BF50" w:tentative="1">
      <w:start w:val="1"/>
      <w:numFmt w:val="bullet"/>
      <w:lvlText w:val="•"/>
      <w:lvlJc w:val="left"/>
      <w:pPr>
        <w:tabs>
          <w:tab w:val="num" w:pos="5760"/>
        </w:tabs>
        <w:ind w:left="5760" w:hanging="360"/>
      </w:pPr>
      <w:rPr>
        <w:rFonts w:ascii="Arial" w:hAnsi="Arial" w:hint="default"/>
      </w:rPr>
    </w:lvl>
    <w:lvl w:ilvl="8" w:tplc="F8FEA98A" w:tentative="1">
      <w:start w:val="1"/>
      <w:numFmt w:val="bullet"/>
      <w:lvlText w:val="•"/>
      <w:lvlJc w:val="left"/>
      <w:pPr>
        <w:tabs>
          <w:tab w:val="num" w:pos="6480"/>
        </w:tabs>
        <w:ind w:left="6480" w:hanging="360"/>
      </w:pPr>
      <w:rPr>
        <w:rFonts w:ascii="Arial" w:hAnsi="Arial" w:hint="default"/>
      </w:rPr>
    </w:lvl>
  </w:abstractNum>
  <w:abstractNum w:abstractNumId="5">
    <w:nsid w:val="735C6FB6"/>
    <w:multiLevelType w:val="hybridMultilevel"/>
    <w:tmpl w:val="E89A13B6"/>
    <w:lvl w:ilvl="0" w:tplc="A0FC5D1C">
      <w:start w:val="1"/>
      <w:numFmt w:val="bullet"/>
      <w:lvlText w:val="•"/>
      <w:lvlJc w:val="left"/>
      <w:pPr>
        <w:tabs>
          <w:tab w:val="num" w:pos="720"/>
        </w:tabs>
        <w:ind w:left="720" w:hanging="360"/>
      </w:pPr>
      <w:rPr>
        <w:rFonts w:ascii="Arial" w:hAnsi="Arial" w:hint="default"/>
      </w:rPr>
    </w:lvl>
    <w:lvl w:ilvl="1" w:tplc="747E9C3C" w:tentative="1">
      <w:start w:val="1"/>
      <w:numFmt w:val="bullet"/>
      <w:lvlText w:val="•"/>
      <w:lvlJc w:val="left"/>
      <w:pPr>
        <w:tabs>
          <w:tab w:val="num" w:pos="1440"/>
        </w:tabs>
        <w:ind w:left="1440" w:hanging="360"/>
      </w:pPr>
      <w:rPr>
        <w:rFonts w:ascii="Arial" w:hAnsi="Arial" w:hint="default"/>
      </w:rPr>
    </w:lvl>
    <w:lvl w:ilvl="2" w:tplc="3E5E1A18" w:tentative="1">
      <w:start w:val="1"/>
      <w:numFmt w:val="bullet"/>
      <w:lvlText w:val="•"/>
      <w:lvlJc w:val="left"/>
      <w:pPr>
        <w:tabs>
          <w:tab w:val="num" w:pos="2160"/>
        </w:tabs>
        <w:ind w:left="2160" w:hanging="360"/>
      </w:pPr>
      <w:rPr>
        <w:rFonts w:ascii="Arial" w:hAnsi="Arial" w:hint="default"/>
      </w:rPr>
    </w:lvl>
    <w:lvl w:ilvl="3" w:tplc="54DE27B6" w:tentative="1">
      <w:start w:val="1"/>
      <w:numFmt w:val="bullet"/>
      <w:lvlText w:val="•"/>
      <w:lvlJc w:val="left"/>
      <w:pPr>
        <w:tabs>
          <w:tab w:val="num" w:pos="2880"/>
        </w:tabs>
        <w:ind w:left="2880" w:hanging="360"/>
      </w:pPr>
      <w:rPr>
        <w:rFonts w:ascii="Arial" w:hAnsi="Arial" w:hint="default"/>
      </w:rPr>
    </w:lvl>
    <w:lvl w:ilvl="4" w:tplc="D0700EAE" w:tentative="1">
      <w:start w:val="1"/>
      <w:numFmt w:val="bullet"/>
      <w:lvlText w:val="•"/>
      <w:lvlJc w:val="left"/>
      <w:pPr>
        <w:tabs>
          <w:tab w:val="num" w:pos="3600"/>
        </w:tabs>
        <w:ind w:left="3600" w:hanging="360"/>
      </w:pPr>
      <w:rPr>
        <w:rFonts w:ascii="Arial" w:hAnsi="Arial" w:hint="default"/>
      </w:rPr>
    </w:lvl>
    <w:lvl w:ilvl="5" w:tplc="A32C3854" w:tentative="1">
      <w:start w:val="1"/>
      <w:numFmt w:val="bullet"/>
      <w:lvlText w:val="•"/>
      <w:lvlJc w:val="left"/>
      <w:pPr>
        <w:tabs>
          <w:tab w:val="num" w:pos="4320"/>
        </w:tabs>
        <w:ind w:left="4320" w:hanging="360"/>
      </w:pPr>
      <w:rPr>
        <w:rFonts w:ascii="Arial" w:hAnsi="Arial" w:hint="default"/>
      </w:rPr>
    </w:lvl>
    <w:lvl w:ilvl="6" w:tplc="5B74C9D6" w:tentative="1">
      <w:start w:val="1"/>
      <w:numFmt w:val="bullet"/>
      <w:lvlText w:val="•"/>
      <w:lvlJc w:val="left"/>
      <w:pPr>
        <w:tabs>
          <w:tab w:val="num" w:pos="5040"/>
        </w:tabs>
        <w:ind w:left="5040" w:hanging="360"/>
      </w:pPr>
      <w:rPr>
        <w:rFonts w:ascii="Arial" w:hAnsi="Arial" w:hint="default"/>
      </w:rPr>
    </w:lvl>
    <w:lvl w:ilvl="7" w:tplc="9F32AB46" w:tentative="1">
      <w:start w:val="1"/>
      <w:numFmt w:val="bullet"/>
      <w:lvlText w:val="•"/>
      <w:lvlJc w:val="left"/>
      <w:pPr>
        <w:tabs>
          <w:tab w:val="num" w:pos="5760"/>
        </w:tabs>
        <w:ind w:left="5760" w:hanging="360"/>
      </w:pPr>
      <w:rPr>
        <w:rFonts w:ascii="Arial" w:hAnsi="Arial" w:hint="default"/>
      </w:rPr>
    </w:lvl>
    <w:lvl w:ilvl="8" w:tplc="43C8AB4C" w:tentative="1">
      <w:start w:val="1"/>
      <w:numFmt w:val="bullet"/>
      <w:lvlText w:val="•"/>
      <w:lvlJc w:val="left"/>
      <w:pPr>
        <w:tabs>
          <w:tab w:val="num" w:pos="6480"/>
        </w:tabs>
        <w:ind w:left="6480" w:hanging="360"/>
      </w:pPr>
      <w:rPr>
        <w:rFonts w:ascii="Arial" w:hAnsi="Arial" w:hint="default"/>
      </w:rPr>
    </w:lvl>
  </w:abstractNum>
  <w:abstractNum w:abstractNumId="6">
    <w:nsid w:val="78814123"/>
    <w:multiLevelType w:val="hybridMultilevel"/>
    <w:tmpl w:val="1A2C8D10"/>
    <w:lvl w:ilvl="0" w:tplc="4B5C58B8">
      <w:start w:val="1"/>
      <w:numFmt w:val="bullet"/>
      <w:lvlText w:val="•"/>
      <w:lvlJc w:val="left"/>
      <w:pPr>
        <w:tabs>
          <w:tab w:val="num" w:pos="720"/>
        </w:tabs>
        <w:ind w:left="720" w:hanging="360"/>
      </w:pPr>
      <w:rPr>
        <w:rFonts w:ascii="Arial" w:hAnsi="Arial" w:hint="default"/>
      </w:rPr>
    </w:lvl>
    <w:lvl w:ilvl="1" w:tplc="0A7C729C" w:tentative="1">
      <w:start w:val="1"/>
      <w:numFmt w:val="bullet"/>
      <w:lvlText w:val="•"/>
      <w:lvlJc w:val="left"/>
      <w:pPr>
        <w:tabs>
          <w:tab w:val="num" w:pos="1440"/>
        </w:tabs>
        <w:ind w:left="1440" w:hanging="360"/>
      </w:pPr>
      <w:rPr>
        <w:rFonts w:ascii="Arial" w:hAnsi="Arial" w:hint="default"/>
      </w:rPr>
    </w:lvl>
    <w:lvl w:ilvl="2" w:tplc="5C861314" w:tentative="1">
      <w:start w:val="1"/>
      <w:numFmt w:val="bullet"/>
      <w:lvlText w:val="•"/>
      <w:lvlJc w:val="left"/>
      <w:pPr>
        <w:tabs>
          <w:tab w:val="num" w:pos="2160"/>
        </w:tabs>
        <w:ind w:left="2160" w:hanging="360"/>
      </w:pPr>
      <w:rPr>
        <w:rFonts w:ascii="Arial" w:hAnsi="Arial" w:hint="default"/>
      </w:rPr>
    </w:lvl>
    <w:lvl w:ilvl="3" w:tplc="51E29DFE" w:tentative="1">
      <w:start w:val="1"/>
      <w:numFmt w:val="bullet"/>
      <w:lvlText w:val="•"/>
      <w:lvlJc w:val="left"/>
      <w:pPr>
        <w:tabs>
          <w:tab w:val="num" w:pos="2880"/>
        </w:tabs>
        <w:ind w:left="2880" w:hanging="360"/>
      </w:pPr>
      <w:rPr>
        <w:rFonts w:ascii="Arial" w:hAnsi="Arial" w:hint="default"/>
      </w:rPr>
    </w:lvl>
    <w:lvl w:ilvl="4" w:tplc="94343024" w:tentative="1">
      <w:start w:val="1"/>
      <w:numFmt w:val="bullet"/>
      <w:lvlText w:val="•"/>
      <w:lvlJc w:val="left"/>
      <w:pPr>
        <w:tabs>
          <w:tab w:val="num" w:pos="3600"/>
        </w:tabs>
        <w:ind w:left="3600" w:hanging="360"/>
      </w:pPr>
      <w:rPr>
        <w:rFonts w:ascii="Arial" w:hAnsi="Arial" w:hint="default"/>
      </w:rPr>
    </w:lvl>
    <w:lvl w:ilvl="5" w:tplc="52D04690" w:tentative="1">
      <w:start w:val="1"/>
      <w:numFmt w:val="bullet"/>
      <w:lvlText w:val="•"/>
      <w:lvlJc w:val="left"/>
      <w:pPr>
        <w:tabs>
          <w:tab w:val="num" w:pos="4320"/>
        </w:tabs>
        <w:ind w:left="4320" w:hanging="360"/>
      </w:pPr>
      <w:rPr>
        <w:rFonts w:ascii="Arial" w:hAnsi="Arial" w:hint="default"/>
      </w:rPr>
    </w:lvl>
    <w:lvl w:ilvl="6" w:tplc="7A22D2E4" w:tentative="1">
      <w:start w:val="1"/>
      <w:numFmt w:val="bullet"/>
      <w:lvlText w:val="•"/>
      <w:lvlJc w:val="left"/>
      <w:pPr>
        <w:tabs>
          <w:tab w:val="num" w:pos="5040"/>
        </w:tabs>
        <w:ind w:left="5040" w:hanging="360"/>
      </w:pPr>
      <w:rPr>
        <w:rFonts w:ascii="Arial" w:hAnsi="Arial" w:hint="default"/>
      </w:rPr>
    </w:lvl>
    <w:lvl w:ilvl="7" w:tplc="29F040B2" w:tentative="1">
      <w:start w:val="1"/>
      <w:numFmt w:val="bullet"/>
      <w:lvlText w:val="•"/>
      <w:lvlJc w:val="left"/>
      <w:pPr>
        <w:tabs>
          <w:tab w:val="num" w:pos="5760"/>
        </w:tabs>
        <w:ind w:left="5760" w:hanging="360"/>
      </w:pPr>
      <w:rPr>
        <w:rFonts w:ascii="Arial" w:hAnsi="Arial" w:hint="default"/>
      </w:rPr>
    </w:lvl>
    <w:lvl w:ilvl="8" w:tplc="7450A334" w:tentative="1">
      <w:start w:val="1"/>
      <w:numFmt w:val="bullet"/>
      <w:lvlText w:val="•"/>
      <w:lvlJc w:val="left"/>
      <w:pPr>
        <w:tabs>
          <w:tab w:val="num" w:pos="6480"/>
        </w:tabs>
        <w:ind w:left="6480" w:hanging="360"/>
      </w:pPr>
      <w:rPr>
        <w:rFonts w:ascii="Arial" w:hAnsi="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82"/>
    <w:rsid w:val="00010155"/>
    <w:rsid w:val="000209FF"/>
    <w:rsid w:val="00034F6B"/>
    <w:rsid w:val="000814D8"/>
    <w:rsid w:val="00105105"/>
    <w:rsid w:val="00105129"/>
    <w:rsid w:val="001278DD"/>
    <w:rsid w:val="0014078D"/>
    <w:rsid w:val="00160E29"/>
    <w:rsid w:val="001A184F"/>
    <w:rsid w:val="002113C1"/>
    <w:rsid w:val="00221ACF"/>
    <w:rsid w:val="00233736"/>
    <w:rsid w:val="00252EE3"/>
    <w:rsid w:val="002627B5"/>
    <w:rsid w:val="00282F03"/>
    <w:rsid w:val="002A5337"/>
    <w:rsid w:val="002E693B"/>
    <w:rsid w:val="00362BAE"/>
    <w:rsid w:val="003C2CC8"/>
    <w:rsid w:val="003D134F"/>
    <w:rsid w:val="003E05EB"/>
    <w:rsid w:val="004454F1"/>
    <w:rsid w:val="00462326"/>
    <w:rsid w:val="004806FC"/>
    <w:rsid w:val="004950BF"/>
    <w:rsid w:val="0049658D"/>
    <w:rsid w:val="004C617D"/>
    <w:rsid w:val="005C4DF4"/>
    <w:rsid w:val="005E7D8A"/>
    <w:rsid w:val="00663AA3"/>
    <w:rsid w:val="00686AE5"/>
    <w:rsid w:val="00693C91"/>
    <w:rsid w:val="006A36FC"/>
    <w:rsid w:val="006E04AB"/>
    <w:rsid w:val="006E6810"/>
    <w:rsid w:val="0072133C"/>
    <w:rsid w:val="00773EA5"/>
    <w:rsid w:val="007C6337"/>
    <w:rsid w:val="007E5F89"/>
    <w:rsid w:val="00802998"/>
    <w:rsid w:val="008356D9"/>
    <w:rsid w:val="008627E9"/>
    <w:rsid w:val="008817E1"/>
    <w:rsid w:val="008A5A9B"/>
    <w:rsid w:val="008F304A"/>
    <w:rsid w:val="0092085C"/>
    <w:rsid w:val="00942264"/>
    <w:rsid w:val="009667C8"/>
    <w:rsid w:val="009B5C94"/>
    <w:rsid w:val="009D78DF"/>
    <w:rsid w:val="00A15B27"/>
    <w:rsid w:val="00A2474B"/>
    <w:rsid w:val="00A46064"/>
    <w:rsid w:val="00A8672D"/>
    <w:rsid w:val="00AA20A3"/>
    <w:rsid w:val="00AB1C91"/>
    <w:rsid w:val="00AF31DA"/>
    <w:rsid w:val="00AF4707"/>
    <w:rsid w:val="00B145B3"/>
    <w:rsid w:val="00B15ED6"/>
    <w:rsid w:val="00BD6257"/>
    <w:rsid w:val="00BE308B"/>
    <w:rsid w:val="00BE46AF"/>
    <w:rsid w:val="00BF376F"/>
    <w:rsid w:val="00C04947"/>
    <w:rsid w:val="00C53F42"/>
    <w:rsid w:val="00C54415"/>
    <w:rsid w:val="00C8775E"/>
    <w:rsid w:val="00D341B2"/>
    <w:rsid w:val="00D411FE"/>
    <w:rsid w:val="00D648D6"/>
    <w:rsid w:val="00E34568"/>
    <w:rsid w:val="00EA0606"/>
    <w:rsid w:val="00EA6423"/>
    <w:rsid w:val="00F04689"/>
    <w:rsid w:val="00F139EE"/>
    <w:rsid w:val="00F25BFE"/>
    <w:rsid w:val="00F93AF8"/>
    <w:rsid w:val="00FA7284"/>
    <w:rsid w:val="00FA72BD"/>
    <w:rsid w:val="00FB2F82"/>
    <w:rsid w:val="00FC26DC"/>
    <w:rsid w:val="00FD01EC"/>
    <w:rsid w:val="00FD06EC"/>
    <w:rsid w:val="00FE2EC1"/>
    <w:rsid w:val="00FE7F7E"/>
    <w:rsid w:val="00FF15FD"/>
    <w:rsid w:val="00FF2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F8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7E9"/>
    <w:pPr>
      <w:ind w:left="720"/>
      <w:contextualSpacing/>
    </w:pPr>
  </w:style>
  <w:style w:type="character" w:styleId="CommentReference">
    <w:name w:val="annotation reference"/>
    <w:uiPriority w:val="99"/>
    <w:semiHidden/>
    <w:unhideWhenUsed/>
    <w:rsid w:val="00C8775E"/>
    <w:rPr>
      <w:sz w:val="16"/>
      <w:szCs w:val="16"/>
    </w:rPr>
  </w:style>
  <w:style w:type="paragraph" w:styleId="CommentText">
    <w:name w:val="annotation text"/>
    <w:basedOn w:val="Normal"/>
    <w:link w:val="CommentTextChar"/>
    <w:uiPriority w:val="99"/>
    <w:semiHidden/>
    <w:unhideWhenUsed/>
    <w:rsid w:val="00C8775E"/>
    <w:rPr>
      <w:sz w:val="20"/>
      <w:szCs w:val="20"/>
    </w:rPr>
  </w:style>
  <w:style w:type="character" w:customStyle="1" w:styleId="CommentTextChar">
    <w:name w:val="Comment Text Char"/>
    <w:link w:val="CommentText"/>
    <w:uiPriority w:val="99"/>
    <w:semiHidden/>
    <w:rsid w:val="00C8775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75E"/>
    <w:rPr>
      <w:b/>
      <w:bCs/>
    </w:rPr>
  </w:style>
  <w:style w:type="character" w:customStyle="1" w:styleId="CommentSubjectChar">
    <w:name w:val="Comment Subject Char"/>
    <w:link w:val="CommentSubject"/>
    <w:uiPriority w:val="99"/>
    <w:semiHidden/>
    <w:rsid w:val="00C8775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8775E"/>
    <w:rPr>
      <w:rFonts w:ascii="Tahoma" w:hAnsi="Tahoma"/>
      <w:sz w:val="16"/>
      <w:szCs w:val="16"/>
    </w:rPr>
  </w:style>
  <w:style w:type="character" w:customStyle="1" w:styleId="BalloonTextChar">
    <w:name w:val="Balloon Text Char"/>
    <w:link w:val="BalloonText"/>
    <w:uiPriority w:val="99"/>
    <w:semiHidden/>
    <w:rsid w:val="00C8775E"/>
    <w:rPr>
      <w:rFonts w:ascii="Tahoma" w:hAnsi="Tahoma" w:cs="Tahoma"/>
      <w:sz w:val="16"/>
      <w:szCs w:val="16"/>
    </w:rPr>
  </w:style>
  <w:style w:type="paragraph" w:styleId="Header">
    <w:name w:val="header"/>
    <w:basedOn w:val="Normal"/>
    <w:link w:val="HeaderChar"/>
    <w:uiPriority w:val="99"/>
    <w:unhideWhenUsed/>
    <w:rsid w:val="003C2CC8"/>
    <w:pPr>
      <w:tabs>
        <w:tab w:val="center" w:pos="4680"/>
        <w:tab w:val="right" w:pos="9360"/>
      </w:tabs>
    </w:pPr>
  </w:style>
  <w:style w:type="character" w:customStyle="1" w:styleId="HeaderChar">
    <w:name w:val="Header Char"/>
    <w:link w:val="Header"/>
    <w:uiPriority w:val="99"/>
    <w:rsid w:val="003C2CC8"/>
    <w:rPr>
      <w:rFonts w:ascii="Times New Roman" w:hAnsi="Times New Roman"/>
      <w:sz w:val="24"/>
      <w:szCs w:val="24"/>
    </w:rPr>
  </w:style>
  <w:style w:type="paragraph" w:styleId="Footer">
    <w:name w:val="footer"/>
    <w:basedOn w:val="Normal"/>
    <w:link w:val="FooterChar"/>
    <w:uiPriority w:val="99"/>
    <w:unhideWhenUsed/>
    <w:rsid w:val="003C2CC8"/>
    <w:pPr>
      <w:tabs>
        <w:tab w:val="center" w:pos="4680"/>
        <w:tab w:val="right" w:pos="9360"/>
      </w:tabs>
    </w:pPr>
  </w:style>
  <w:style w:type="character" w:customStyle="1" w:styleId="FooterChar">
    <w:name w:val="Footer Char"/>
    <w:link w:val="Footer"/>
    <w:uiPriority w:val="99"/>
    <w:rsid w:val="003C2CC8"/>
    <w:rPr>
      <w:rFonts w:ascii="Times New Roman" w:hAnsi="Times New Roman"/>
      <w:sz w:val="24"/>
      <w:szCs w:val="24"/>
    </w:rPr>
  </w:style>
  <w:style w:type="paragraph" w:customStyle="1" w:styleId="Default">
    <w:name w:val="Default"/>
    <w:rsid w:val="00EA6423"/>
    <w:pPr>
      <w:autoSpaceDE w:val="0"/>
      <w:autoSpaceDN w:val="0"/>
      <w:adjustRightInd w:val="0"/>
    </w:pPr>
    <w:rPr>
      <w:rFonts w:ascii="Palatino Linotype" w:eastAsiaTheme="minorHAnsi" w:hAnsi="Palatino Linotype" w:cs="Palatino Linotype"/>
      <w:color w:val="000000"/>
      <w:sz w:val="24"/>
      <w:szCs w:val="24"/>
    </w:rPr>
  </w:style>
  <w:style w:type="paragraph" w:styleId="NormalWeb">
    <w:name w:val="Normal (Web)"/>
    <w:basedOn w:val="Normal"/>
    <w:uiPriority w:val="99"/>
    <w:semiHidden/>
    <w:unhideWhenUsed/>
    <w:rsid w:val="004C617D"/>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F8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7E9"/>
    <w:pPr>
      <w:ind w:left="720"/>
      <w:contextualSpacing/>
    </w:pPr>
  </w:style>
  <w:style w:type="character" w:styleId="CommentReference">
    <w:name w:val="annotation reference"/>
    <w:uiPriority w:val="99"/>
    <w:semiHidden/>
    <w:unhideWhenUsed/>
    <w:rsid w:val="00C8775E"/>
    <w:rPr>
      <w:sz w:val="16"/>
      <w:szCs w:val="16"/>
    </w:rPr>
  </w:style>
  <w:style w:type="paragraph" w:styleId="CommentText">
    <w:name w:val="annotation text"/>
    <w:basedOn w:val="Normal"/>
    <w:link w:val="CommentTextChar"/>
    <w:uiPriority w:val="99"/>
    <w:semiHidden/>
    <w:unhideWhenUsed/>
    <w:rsid w:val="00C8775E"/>
    <w:rPr>
      <w:sz w:val="20"/>
      <w:szCs w:val="20"/>
    </w:rPr>
  </w:style>
  <w:style w:type="character" w:customStyle="1" w:styleId="CommentTextChar">
    <w:name w:val="Comment Text Char"/>
    <w:link w:val="CommentText"/>
    <w:uiPriority w:val="99"/>
    <w:semiHidden/>
    <w:rsid w:val="00C8775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75E"/>
    <w:rPr>
      <w:b/>
      <w:bCs/>
    </w:rPr>
  </w:style>
  <w:style w:type="character" w:customStyle="1" w:styleId="CommentSubjectChar">
    <w:name w:val="Comment Subject Char"/>
    <w:link w:val="CommentSubject"/>
    <w:uiPriority w:val="99"/>
    <w:semiHidden/>
    <w:rsid w:val="00C8775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8775E"/>
    <w:rPr>
      <w:rFonts w:ascii="Tahoma" w:hAnsi="Tahoma"/>
      <w:sz w:val="16"/>
      <w:szCs w:val="16"/>
    </w:rPr>
  </w:style>
  <w:style w:type="character" w:customStyle="1" w:styleId="BalloonTextChar">
    <w:name w:val="Balloon Text Char"/>
    <w:link w:val="BalloonText"/>
    <w:uiPriority w:val="99"/>
    <w:semiHidden/>
    <w:rsid w:val="00C8775E"/>
    <w:rPr>
      <w:rFonts w:ascii="Tahoma" w:hAnsi="Tahoma" w:cs="Tahoma"/>
      <w:sz w:val="16"/>
      <w:szCs w:val="16"/>
    </w:rPr>
  </w:style>
  <w:style w:type="paragraph" w:styleId="Header">
    <w:name w:val="header"/>
    <w:basedOn w:val="Normal"/>
    <w:link w:val="HeaderChar"/>
    <w:uiPriority w:val="99"/>
    <w:unhideWhenUsed/>
    <w:rsid w:val="003C2CC8"/>
    <w:pPr>
      <w:tabs>
        <w:tab w:val="center" w:pos="4680"/>
        <w:tab w:val="right" w:pos="9360"/>
      </w:tabs>
    </w:pPr>
  </w:style>
  <w:style w:type="character" w:customStyle="1" w:styleId="HeaderChar">
    <w:name w:val="Header Char"/>
    <w:link w:val="Header"/>
    <w:uiPriority w:val="99"/>
    <w:rsid w:val="003C2CC8"/>
    <w:rPr>
      <w:rFonts w:ascii="Times New Roman" w:hAnsi="Times New Roman"/>
      <w:sz w:val="24"/>
      <w:szCs w:val="24"/>
    </w:rPr>
  </w:style>
  <w:style w:type="paragraph" w:styleId="Footer">
    <w:name w:val="footer"/>
    <w:basedOn w:val="Normal"/>
    <w:link w:val="FooterChar"/>
    <w:uiPriority w:val="99"/>
    <w:unhideWhenUsed/>
    <w:rsid w:val="003C2CC8"/>
    <w:pPr>
      <w:tabs>
        <w:tab w:val="center" w:pos="4680"/>
        <w:tab w:val="right" w:pos="9360"/>
      </w:tabs>
    </w:pPr>
  </w:style>
  <w:style w:type="character" w:customStyle="1" w:styleId="FooterChar">
    <w:name w:val="Footer Char"/>
    <w:link w:val="Footer"/>
    <w:uiPriority w:val="99"/>
    <w:rsid w:val="003C2CC8"/>
    <w:rPr>
      <w:rFonts w:ascii="Times New Roman" w:hAnsi="Times New Roman"/>
      <w:sz w:val="24"/>
      <w:szCs w:val="24"/>
    </w:rPr>
  </w:style>
  <w:style w:type="paragraph" w:customStyle="1" w:styleId="Default">
    <w:name w:val="Default"/>
    <w:rsid w:val="00EA6423"/>
    <w:pPr>
      <w:autoSpaceDE w:val="0"/>
      <w:autoSpaceDN w:val="0"/>
      <w:adjustRightInd w:val="0"/>
    </w:pPr>
    <w:rPr>
      <w:rFonts w:ascii="Palatino Linotype" w:eastAsiaTheme="minorHAnsi" w:hAnsi="Palatino Linotype" w:cs="Palatino Linotype"/>
      <w:color w:val="000000"/>
      <w:sz w:val="24"/>
      <w:szCs w:val="24"/>
    </w:rPr>
  </w:style>
  <w:style w:type="paragraph" w:styleId="NormalWeb">
    <w:name w:val="Normal (Web)"/>
    <w:basedOn w:val="Normal"/>
    <w:uiPriority w:val="99"/>
    <w:semiHidden/>
    <w:unhideWhenUsed/>
    <w:rsid w:val="004C617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7493">
      <w:bodyDiv w:val="1"/>
      <w:marLeft w:val="0"/>
      <w:marRight w:val="0"/>
      <w:marTop w:val="0"/>
      <w:marBottom w:val="0"/>
      <w:divBdr>
        <w:top w:val="none" w:sz="0" w:space="0" w:color="auto"/>
        <w:left w:val="none" w:sz="0" w:space="0" w:color="auto"/>
        <w:bottom w:val="none" w:sz="0" w:space="0" w:color="auto"/>
        <w:right w:val="none" w:sz="0" w:space="0" w:color="auto"/>
      </w:divBdr>
      <w:divsChild>
        <w:div w:id="198206803">
          <w:marLeft w:val="274"/>
          <w:marRight w:val="0"/>
          <w:marTop w:val="0"/>
          <w:marBottom w:val="0"/>
          <w:divBdr>
            <w:top w:val="none" w:sz="0" w:space="0" w:color="auto"/>
            <w:left w:val="none" w:sz="0" w:space="0" w:color="auto"/>
            <w:bottom w:val="none" w:sz="0" w:space="0" w:color="auto"/>
            <w:right w:val="none" w:sz="0" w:space="0" w:color="auto"/>
          </w:divBdr>
        </w:div>
        <w:div w:id="1713185458">
          <w:marLeft w:val="274"/>
          <w:marRight w:val="0"/>
          <w:marTop w:val="0"/>
          <w:marBottom w:val="0"/>
          <w:divBdr>
            <w:top w:val="none" w:sz="0" w:space="0" w:color="auto"/>
            <w:left w:val="none" w:sz="0" w:space="0" w:color="auto"/>
            <w:bottom w:val="none" w:sz="0" w:space="0" w:color="auto"/>
            <w:right w:val="none" w:sz="0" w:space="0" w:color="auto"/>
          </w:divBdr>
        </w:div>
      </w:divsChild>
    </w:div>
    <w:div w:id="301614287">
      <w:bodyDiv w:val="1"/>
      <w:marLeft w:val="0"/>
      <w:marRight w:val="0"/>
      <w:marTop w:val="0"/>
      <w:marBottom w:val="0"/>
      <w:divBdr>
        <w:top w:val="none" w:sz="0" w:space="0" w:color="auto"/>
        <w:left w:val="none" w:sz="0" w:space="0" w:color="auto"/>
        <w:bottom w:val="none" w:sz="0" w:space="0" w:color="auto"/>
        <w:right w:val="none" w:sz="0" w:space="0" w:color="auto"/>
      </w:divBdr>
    </w:div>
    <w:div w:id="691808439">
      <w:bodyDiv w:val="1"/>
      <w:marLeft w:val="0"/>
      <w:marRight w:val="0"/>
      <w:marTop w:val="0"/>
      <w:marBottom w:val="0"/>
      <w:divBdr>
        <w:top w:val="none" w:sz="0" w:space="0" w:color="auto"/>
        <w:left w:val="none" w:sz="0" w:space="0" w:color="auto"/>
        <w:bottom w:val="none" w:sz="0" w:space="0" w:color="auto"/>
        <w:right w:val="none" w:sz="0" w:space="0" w:color="auto"/>
      </w:divBdr>
      <w:divsChild>
        <w:div w:id="1200363676">
          <w:marLeft w:val="274"/>
          <w:marRight w:val="0"/>
          <w:marTop w:val="0"/>
          <w:marBottom w:val="0"/>
          <w:divBdr>
            <w:top w:val="none" w:sz="0" w:space="0" w:color="auto"/>
            <w:left w:val="none" w:sz="0" w:space="0" w:color="auto"/>
            <w:bottom w:val="none" w:sz="0" w:space="0" w:color="auto"/>
            <w:right w:val="none" w:sz="0" w:space="0" w:color="auto"/>
          </w:divBdr>
        </w:div>
      </w:divsChild>
    </w:div>
    <w:div w:id="792484910">
      <w:bodyDiv w:val="1"/>
      <w:marLeft w:val="0"/>
      <w:marRight w:val="0"/>
      <w:marTop w:val="0"/>
      <w:marBottom w:val="0"/>
      <w:divBdr>
        <w:top w:val="none" w:sz="0" w:space="0" w:color="auto"/>
        <w:left w:val="none" w:sz="0" w:space="0" w:color="auto"/>
        <w:bottom w:val="none" w:sz="0" w:space="0" w:color="auto"/>
        <w:right w:val="none" w:sz="0" w:space="0" w:color="auto"/>
      </w:divBdr>
      <w:divsChild>
        <w:div w:id="988167640">
          <w:marLeft w:val="274"/>
          <w:marRight w:val="0"/>
          <w:marTop w:val="0"/>
          <w:marBottom w:val="0"/>
          <w:divBdr>
            <w:top w:val="none" w:sz="0" w:space="0" w:color="auto"/>
            <w:left w:val="none" w:sz="0" w:space="0" w:color="auto"/>
            <w:bottom w:val="none" w:sz="0" w:space="0" w:color="auto"/>
            <w:right w:val="none" w:sz="0" w:space="0" w:color="auto"/>
          </w:divBdr>
        </w:div>
      </w:divsChild>
    </w:div>
    <w:div w:id="1411657635">
      <w:bodyDiv w:val="1"/>
      <w:marLeft w:val="0"/>
      <w:marRight w:val="0"/>
      <w:marTop w:val="0"/>
      <w:marBottom w:val="0"/>
      <w:divBdr>
        <w:top w:val="none" w:sz="0" w:space="0" w:color="auto"/>
        <w:left w:val="none" w:sz="0" w:space="0" w:color="auto"/>
        <w:bottom w:val="none" w:sz="0" w:space="0" w:color="auto"/>
        <w:right w:val="none" w:sz="0" w:space="0" w:color="auto"/>
      </w:divBdr>
    </w:div>
    <w:div w:id="1764253925">
      <w:bodyDiv w:val="1"/>
      <w:marLeft w:val="0"/>
      <w:marRight w:val="0"/>
      <w:marTop w:val="0"/>
      <w:marBottom w:val="0"/>
      <w:divBdr>
        <w:top w:val="none" w:sz="0" w:space="0" w:color="auto"/>
        <w:left w:val="none" w:sz="0" w:space="0" w:color="auto"/>
        <w:bottom w:val="none" w:sz="0" w:space="0" w:color="auto"/>
        <w:right w:val="none" w:sz="0" w:space="0" w:color="auto"/>
      </w:divBdr>
      <w:divsChild>
        <w:div w:id="1156190154">
          <w:marLeft w:val="274"/>
          <w:marRight w:val="0"/>
          <w:marTop w:val="0"/>
          <w:marBottom w:val="0"/>
          <w:divBdr>
            <w:top w:val="none" w:sz="0" w:space="0" w:color="auto"/>
            <w:left w:val="none" w:sz="0" w:space="0" w:color="auto"/>
            <w:bottom w:val="none" w:sz="0" w:space="0" w:color="auto"/>
            <w:right w:val="none" w:sz="0" w:space="0" w:color="auto"/>
          </w:divBdr>
        </w:div>
        <w:div w:id="704403608">
          <w:marLeft w:val="274"/>
          <w:marRight w:val="0"/>
          <w:marTop w:val="0"/>
          <w:marBottom w:val="0"/>
          <w:divBdr>
            <w:top w:val="none" w:sz="0" w:space="0" w:color="auto"/>
            <w:left w:val="none" w:sz="0" w:space="0" w:color="auto"/>
            <w:bottom w:val="none" w:sz="0" w:space="0" w:color="auto"/>
            <w:right w:val="none" w:sz="0" w:space="0" w:color="auto"/>
          </w:divBdr>
        </w:div>
        <w:div w:id="181019319">
          <w:marLeft w:val="274"/>
          <w:marRight w:val="0"/>
          <w:marTop w:val="0"/>
          <w:marBottom w:val="0"/>
          <w:divBdr>
            <w:top w:val="none" w:sz="0" w:space="0" w:color="auto"/>
            <w:left w:val="none" w:sz="0" w:space="0" w:color="auto"/>
            <w:bottom w:val="none" w:sz="0" w:space="0" w:color="auto"/>
            <w:right w:val="none" w:sz="0" w:space="0" w:color="auto"/>
          </w:divBdr>
        </w:div>
      </w:divsChild>
    </w:div>
    <w:div w:id="2036954447">
      <w:bodyDiv w:val="1"/>
      <w:marLeft w:val="0"/>
      <w:marRight w:val="0"/>
      <w:marTop w:val="0"/>
      <w:marBottom w:val="0"/>
      <w:divBdr>
        <w:top w:val="none" w:sz="0" w:space="0" w:color="auto"/>
        <w:left w:val="none" w:sz="0" w:space="0" w:color="auto"/>
        <w:bottom w:val="none" w:sz="0" w:space="0" w:color="auto"/>
        <w:right w:val="none" w:sz="0" w:space="0" w:color="auto"/>
      </w:divBdr>
      <w:divsChild>
        <w:div w:id="59023561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EMAILADDRESS%">cj76807@imcnam.ssmb.com</XMLData>
</file>

<file path=customXml/item2.xml><?xml version="1.0" encoding="utf-8"?>
<XMLData TextToDisplay="%USERNAME%">cj76807</XMLData>
</file>

<file path=customXml/item3.xml><?xml version="1.0" encoding="utf-8"?>
<XMLData TextToDisplay="%HOSTNAME%">NDCWACOT7D00028.nam.nsroot.net</XMLData>
</file>

<file path=customXml/item4.xml><?xml version="1.0" encoding="utf-8"?>
<XMLData TextToDisplay="%CLASSIFICATIONDATETIME%">16:03 25/10/2016</XMLData>
</file>

<file path=customXml/item5.xml><?xml version="1.0" encoding="utf-8"?>
<XMLData TextToDisplay="%DOCUMENTGUID%">{00000000-0000-0000-0000-000000000000}</XMLData>
</file>

<file path=customXml/item6.xml><?xml version="1.0" encoding="utf-8"?>
<XMLData TextToDisplay="RightsWATCHMark">1|CITI-GLOBAL-Public|{00000000-0000-0000-0000-000000000000}</XML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65AEA-E5A6-4995-8A18-9A940A5591AC}">
  <ds:schemaRefs/>
</ds:datastoreItem>
</file>

<file path=customXml/itemProps2.xml><?xml version="1.0" encoding="utf-8"?>
<ds:datastoreItem xmlns:ds="http://schemas.openxmlformats.org/officeDocument/2006/customXml" ds:itemID="{E2DF897B-5315-418E-B28A-7EF258A520E6}">
  <ds:schemaRefs/>
</ds:datastoreItem>
</file>

<file path=customXml/itemProps3.xml><?xml version="1.0" encoding="utf-8"?>
<ds:datastoreItem xmlns:ds="http://schemas.openxmlformats.org/officeDocument/2006/customXml" ds:itemID="{8C12D636-BFC8-4043-8B65-81487D37008B}">
  <ds:schemaRefs/>
</ds:datastoreItem>
</file>

<file path=customXml/itemProps4.xml><?xml version="1.0" encoding="utf-8"?>
<ds:datastoreItem xmlns:ds="http://schemas.openxmlformats.org/officeDocument/2006/customXml" ds:itemID="{1A7B2E3F-41AF-4E5F-BCAB-ADEB26EF8BB7}">
  <ds:schemaRefs/>
</ds:datastoreItem>
</file>

<file path=customXml/itemProps5.xml><?xml version="1.0" encoding="utf-8"?>
<ds:datastoreItem xmlns:ds="http://schemas.openxmlformats.org/officeDocument/2006/customXml" ds:itemID="{D2C746BC-C6EA-4556-8FD3-29A1EA1469D8}">
  <ds:schemaRefs/>
</ds:datastoreItem>
</file>

<file path=customXml/itemProps6.xml><?xml version="1.0" encoding="utf-8"?>
<ds:datastoreItem xmlns:ds="http://schemas.openxmlformats.org/officeDocument/2006/customXml" ds:itemID="{7B5674B6-C70C-46EC-B015-F5E1B87F0C91}">
  <ds:schemaRefs/>
</ds:datastoreItem>
</file>

<file path=customXml/itemProps7.xml><?xml version="1.0" encoding="utf-8"?>
<ds:datastoreItem xmlns:ds="http://schemas.openxmlformats.org/officeDocument/2006/customXml" ds:itemID="{43629441-1A83-4FEC-B68F-EC845986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6130</Characters>
  <Application>Microsoft Office Word</Application>
  <DocSecurity>0</DocSecurity>
  <Lines>136</Lines>
  <Paragraphs>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2016-10-25T16:03:00Z</dcterms:created>
  <dcterms:modified xsi:type="dcterms:W3CDTF">2016-11-07T20:26:00Z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ightsWATCHMark">
    <vt:lpwstr>1|CITI-GLOBAL-Public|{00000000-0000-0000-0000-000000000000}</vt:lpwstr>
  </property>
</Properties>
</file>